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69ED" w14:textId="08E30E3E" w:rsidR="002F0702" w:rsidRPr="002F0702" w:rsidRDefault="002F0702" w:rsidP="001379D1">
      <w:pPr>
        <w:pStyle w:val="Heading4"/>
        <w:shd w:val="clear" w:color="auto" w:fill="FFFFFF"/>
        <w:spacing w:before="0" w:after="0"/>
        <w:ind w:hanging="720"/>
        <w:jc w:val="both"/>
        <w:rPr>
          <w:rFonts w:ascii="Arial" w:hAnsi="Arial" w:cs="Arial"/>
          <w:i w:val="0"/>
          <w:iCs w:val="0"/>
          <w:color w:val="333333"/>
          <w:sz w:val="21"/>
          <w:szCs w:val="21"/>
        </w:rPr>
      </w:pPr>
      <w:r w:rsidRPr="002F0702">
        <w:rPr>
          <w:rFonts w:ascii="Arial" w:hAnsi="Arial" w:cs="Arial"/>
          <w:i w:val="0"/>
          <w:iCs w:val="0"/>
          <w:color w:val="333333"/>
          <w:sz w:val="21"/>
          <w:szCs w:val="21"/>
        </w:rPr>
        <w:t>Discussion Points – Coaching</w:t>
      </w:r>
    </w:p>
    <w:p w14:paraId="45E3B872" w14:textId="77777777" w:rsidR="002F0702" w:rsidRDefault="002F0702" w:rsidP="001379D1">
      <w:pPr>
        <w:pStyle w:val="Heading4"/>
        <w:shd w:val="clear" w:color="auto" w:fill="FFFFFF"/>
        <w:spacing w:before="0" w:after="0"/>
        <w:ind w:hanging="720"/>
        <w:jc w:val="both"/>
        <w:rPr>
          <w:rFonts w:ascii="Arial" w:hAnsi="Arial" w:cs="Arial"/>
          <w:b/>
          <w:bCs/>
          <w:color w:val="333333"/>
          <w:sz w:val="21"/>
          <w:szCs w:val="21"/>
        </w:rPr>
      </w:pPr>
    </w:p>
    <w:p w14:paraId="28927A07" w14:textId="223D26F4" w:rsidR="002F0702" w:rsidRPr="002F0702" w:rsidRDefault="002F0702" w:rsidP="001379D1">
      <w:pPr>
        <w:pStyle w:val="Heading4"/>
        <w:shd w:val="clear" w:color="auto" w:fill="FFFFFF"/>
        <w:spacing w:before="0" w:after="0"/>
        <w:ind w:hanging="720"/>
        <w:jc w:val="both"/>
        <w:rPr>
          <w:rFonts w:ascii="Arial" w:hAnsi="Arial" w:cs="Arial"/>
          <w:i w:val="0"/>
          <w:iCs w:val="0"/>
          <w:color w:val="333333"/>
          <w:sz w:val="21"/>
          <w:szCs w:val="21"/>
        </w:rPr>
      </w:pPr>
      <w:r>
        <w:rPr>
          <w:rFonts w:ascii="Arial" w:hAnsi="Arial" w:cs="Arial"/>
          <w:i w:val="0"/>
          <w:iCs w:val="0"/>
          <w:color w:val="333333"/>
          <w:sz w:val="21"/>
          <w:szCs w:val="21"/>
        </w:rPr>
        <w:t xml:space="preserve">Reference: </w:t>
      </w:r>
    </w:p>
    <w:p w14:paraId="67997F43" w14:textId="199C9F28" w:rsidR="001379D1" w:rsidRDefault="001379D1" w:rsidP="001379D1">
      <w:pPr>
        <w:pStyle w:val="Heading4"/>
        <w:shd w:val="clear" w:color="auto" w:fill="FFFFFF"/>
        <w:spacing w:before="0" w:after="0"/>
        <w:ind w:hanging="720"/>
        <w:jc w:val="both"/>
        <w:rPr>
          <w:rFonts w:ascii="Arial" w:hAnsi="Arial" w:cs="Arial"/>
          <w:color w:val="333333"/>
          <w:sz w:val="21"/>
          <w:szCs w:val="21"/>
        </w:rPr>
      </w:pPr>
      <w:r>
        <w:rPr>
          <w:rFonts w:ascii="Arial" w:hAnsi="Arial" w:cs="Arial"/>
          <w:b/>
          <w:bCs/>
          <w:color w:val="333333"/>
          <w:sz w:val="21"/>
          <w:szCs w:val="21"/>
        </w:rPr>
        <w:t xml:space="preserve">Healthcare Simulation Standards of Best </w:t>
      </w:r>
      <w:proofErr w:type="spellStart"/>
      <w:r>
        <w:rPr>
          <w:rFonts w:ascii="Arial" w:hAnsi="Arial" w:cs="Arial"/>
          <w:b/>
          <w:bCs/>
          <w:color w:val="333333"/>
          <w:sz w:val="21"/>
          <w:szCs w:val="21"/>
        </w:rPr>
        <w:t>Practice</w:t>
      </w:r>
      <w:r>
        <w:rPr>
          <w:rFonts w:ascii="Arial" w:hAnsi="Arial" w:cs="Arial"/>
          <w:b/>
          <w:bCs/>
          <w:color w:val="333333"/>
          <w:sz w:val="16"/>
          <w:szCs w:val="16"/>
          <w:vertAlign w:val="superscript"/>
        </w:rPr>
        <w:t>TM</w:t>
      </w:r>
      <w:proofErr w:type="spellEnd"/>
      <w:r>
        <w:rPr>
          <w:rFonts w:ascii="Arial" w:hAnsi="Arial" w:cs="Arial"/>
          <w:b/>
          <w:bCs/>
          <w:color w:val="333333"/>
          <w:sz w:val="21"/>
          <w:szCs w:val="21"/>
        </w:rPr>
        <w:t> Facilitation</w:t>
      </w:r>
    </w:p>
    <w:p w14:paraId="06B414E5" w14:textId="77777777" w:rsidR="001379D1" w:rsidRDefault="001379D1" w:rsidP="001379D1">
      <w:pPr>
        <w:shd w:val="clear" w:color="auto" w:fill="FFFFFF"/>
        <w:ind w:left="360" w:hanging="720"/>
        <w:jc w:val="both"/>
        <w:rPr>
          <w:rFonts w:ascii="Helvetica Neue" w:hAnsi="Helvetica Neue" w:cs="Times New Roman"/>
          <w:color w:val="333333"/>
          <w:sz w:val="18"/>
          <w:szCs w:val="18"/>
        </w:rPr>
      </w:pPr>
      <w:r>
        <w:rPr>
          <w:rFonts w:ascii="Helvetica Neue" w:hAnsi="Helvetica Neue"/>
          <w:color w:val="333333"/>
          <w:sz w:val="18"/>
          <w:szCs w:val="18"/>
        </w:rPr>
        <w:t>Persico, Lori et al.</w:t>
      </w:r>
    </w:p>
    <w:p w14:paraId="459249B7" w14:textId="77777777" w:rsidR="001379D1" w:rsidRDefault="001379D1" w:rsidP="001379D1">
      <w:pPr>
        <w:shd w:val="clear" w:color="auto" w:fill="FFFFFF"/>
        <w:ind w:left="360" w:hanging="720"/>
        <w:jc w:val="both"/>
        <w:rPr>
          <w:rFonts w:ascii="Helvetica Neue" w:hAnsi="Helvetica Neue"/>
          <w:color w:val="333333"/>
          <w:sz w:val="18"/>
          <w:szCs w:val="18"/>
        </w:rPr>
      </w:pPr>
      <w:r>
        <w:rPr>
          <w:rFonts w:ascii="Helvetica Neue" w:hAnsi="Helvetica Neue"/>
          <w:color w:val="333333"/>
          <w:sz w:val="18"/>
          <w:szCs w:val="18"/>
        </w:rPr>
        <w:t xml:space="preserve">Clinical Simulation </w:t>
      </w:r>
      <w:proofErr w:type="gramStart"/>
      <w:r>
        <w:rPr>
          <w:rFonts w:ascii="Helvetica Neue" w:hAnsi="Helvetica Neue"/>
          <w:color w:val="333333"/>
          <w:sz w:val="18"/>
          <w:szCs w:val="18"/>
        </w:rPr>
        <w:t>In</w:t>
      </w:r>
      <w:proofErr w:type="gramEnd"/>
      <w:r>
        <w:rPr>
          <w:rFonts w:ascii="Helvetica Neue" w:hAnsi="Helvetica Neue"/>
          <w:color w:val="333333"/>
          <w:sz w:val="18"/>
          <w:szCs w:val="18"/>
        </w:rPr>
        <w:t xml:space="preserve"> Nursing, Volume 58, 22 - 26</w:t>
      </w:r>
    </w:p>
    <w:p w14:paraId="40FF73B2" w14:textId="77777777" w:rsidR="001379D1" w:rsidRDefault="001379D1"/>
    <w:p w14:paraId="41823A6F" w14:textId="77777777" w:rsidR="001379D1" w:rsidRDefault="001379D1"/>
    <w:p w14:paraId="312B5CF2" w14:textId="77777777" w:rsidR="001379D1" w:rsidRDefault="001379D1"/>
    <w:p w14:paraId="39EADF25" w14:textId="77777777" w:rsidR="001F465D" w:rsidRDefault="001F465D"/>
    <w:tbl>
      <w:tblPr>
        <w:tblStyle w:val="TableGrid"/>
        <w:tblW w:w="8792" w:type="dxa"/>
        <w:tblInd w:w="265" w:type="dxa"/>
        <w:tblLook w:val="04A0" w:firstRow="1" w:lastRow="0" w:firstColumn="1" w:lastColumn="0" w:noHBand="0" w:noVBand="1"/>
      </w:tblPr>
      <w:tblGrid>
        <w:gridCol w:w="1468"/>
        <w:gridCol w:w="3662"/>
        <w:gridCol w:w="3662"/>
      </w:tblGrid>
      <w:tr w:rsidR="00AD52ED" w:rsidRPr="00230828" w14:paraId="04B792C5" w14:textId="77777777" w:rsidTr="00AD52ED">
        <w:tc>
          <w:tcPr>
            <w:tcW w:w="8792" w:type="dxa"/>
            <w:gridSpan w:val="3"/>
            <w:shd w:val="clear" w:color="auto" w:fill="A5C9EB" w:themeFill="text2" w:themeFillTint="40"/>
          </w:tcPr>
          <w:p w14:paraId="1236D1E2" w14:textId="72C9C7F5" w:rsidR="00AD52ED" w:rsidRDefault="00AD52ED" w:rsidP="00230828">
            <w:pPr>
              <w:jc w:val="center"/>
              <w:rPr>
                <w:b/>
                <w:bCs/>
              </w:rPr>
            </w:pPr>
            <w:r>
              <w:rPr>
                <w:b/>
                <w:bCs/>
              </w:rPr>
              <w:t xml:space="preserve">Success </w:t>
            </w:r>
            <w:r w:rsidR="001379D1">
              <w:rPr>
                <w:b/>
                <w:bCs/>
              </w:rPr>
              <w:t>Coaching</w:t>
            </w:r>
            <w:r w:rsidR="00233BA3">
              <w:rPr>
                <w:b/>
                <w:bCs/>
              </w:rPr>
              <w:t xml:space="preserve"> script</w:t>
            </w:r>
            <w:r w:rsidR="001379D1">
              <w:rPr>
                <w:b/>
                <w:bCs/>
              </w:rPr>
              <w:t xml:space="preserve"> &amp; teaching notes</w:t>
            </w:r>
          </w:p>
          <w:p w14:paraId="680436CF" w14:textId="71618857" w:rsidR="006E6DA8" w:rsidRDefault="006E6DA8" w:rsidP="00230828">
            <w:pPr>
              <w:jc w:val="center"/>
              <w:rPr>
                <w:b/>
                <w:bCs/>
              </w:rPr>
            </w:pPr>
          </w:p>
        </w:tc>
      </w:tr>
      <w:tr w:rsidR="00AD52ED" w:rsidRPr="00230828" w14:paraId="713D7192" w14:textId="39ACB169" w:rsidTr="00AD52ED">
        <w:tc>
          <w:tcPr>
            <w:tcW w:w="1468" w:type="dxa"/>
          </w:tcPr>
          <w:p w14:paraId="62C1808E" w14:textId="77777777" w:rsidR="00AD52ED" w:rsidRPr="00230828" w:rsidRDefault="00AD52ED" w:rsidP="00230828">
            <w:pPr>
              <w:jc w:val="center"/>
              <w:rPr>
                <w:b/>
                <w:bCs/>
              </w:rPr>
            </w:pPr>
          </w:p>
        </w:tc>
        <w:tc>
          <w:tcPr>
            <w:tcW w:w="3662" w:type="dxa"/>
          </w:tcPr>
          <w:p w14:paraId="2194049E" w14:textId="6793ACAB" w:rsidR="00AD52ED" w:rsidRDefault="006E6DA8" w:rsidP="00230828">
            <w:pPr>
              <w:jc w:val="center"/>
              <w:rPr>
                <w:b/>
                <w:bCs/>
              </w:rPr>
            </w:pPr>
            <w:r>
              <w:rPr>
                <w:b/>
                <w:bCs/>
              </w:rPr>
              <w:t>Dialogue</w:t>
            </w:r>
          </w:p>
          <w:p w14:paraId="20611A7D" w14:textId="39DE8964" w:rsidR="00AD52ED" w:rsidRPr="00230828" w:rsidRDefault="00AD52ED" w:rsidP="00230828">
            <w:pPr>
              <w:jc w:val="center"/>
              <w:rPr>
                <w:b/>
                <w:bCs/>
              </w:rPr>
            </w:pPr>
          </w:p>
        </w:tc>
        <w:tc>
          <w:tcPr>
            <w:tcW w:w="3662" w:type="dxa"/>
          </w:tcPr>
          <w:p w14:paraId="311ED054" w14:textId="4C583944" w:rsidR="00AD52ED" w:rsidRPr="00230828" w:rsidRDefault="00AD52ED" w:rsidP="00230828">
            <w:pPr>
              <w:jc w:val="center"/>
              <w:rPr>
                <w:b/>
                <w:bCs/>
              </w:rPr>
            </w:pPr>
            <w:r>
              <w:rPr>
                <w:b/>
                <w:bCs/>
              </w:rPr>
              <w:t>Notes</w:t>
            </w:r>
          </w:p>
        </w:tc>
      </w:tr>
      <w:tr w:rsidR="00AD52ED" w14:paraId="4C349C34" w14:textId="062AEF6D" w:rsidTr="00AD52ED">
        <w:tc>
          <w:tcPr>
            <w:tcW w:w="1468" w:type="dxa"/>
          </w:tcPr>
          <w:p w14:paraId="5D3AE998" w14:textId="468ADCF0" w:rsidR="00AD52ED" w:rsidRDefault="00AD52ED">
            <w:r>
              <w:t>Initial global assessment of phone call</w:t>
            </w:r>
          </w:p>
        </w:tc>
        <w:tc>
          <w:tcPr>
            <w:tcW w:w="3662" w:type="dxa"/>
          </w:tcPr>
          <w:p w14:paraId="40173438" w14:textId="5FF5E247" w:rsidR="00AD52ED" w:rsidRPr="006E6DA8" w:rsidRDefault="00AD52ED">
            <w:r w:rsidRPr="006E6DA8">
              <w:t>“Like anything else, there are some good points and some that can be polished up”</w:t>
            </w:r>
          </w:p>
          <w:p w14:paraId="55CF76F2" w14:textId="77777777" w:rsidR="00AD52ED" w:rsidRPr="006E6DA8" w:rsidRDefault="00AD52ED"/>
          <w:p w14:paraId="2A288FA6" w14:textId="77777777" w:rsidR="00AD52ED" w:rsidRPr="006E6DA8" w:rsidRDefault="00AD52ED">
            <w:r w:rsidRPr="006E6DA8">
              <w:t>“Think about your SBAR calls 2 semesters ago – you’ve come a long way”</w:t>
            </w:r>
          </w:p>
          <w:p w14:paraId="6D9CAE17" w14:textId="77777777" w:rsidR="00AD52ED" w:rsidRPr="006E6DA8" w:rsidRDefault="00AD52ED"/>
          <w:p w14:paraId="271A3F90" w14:textId="4A8CF508" w:rsidR="00AD52ED" w:rsidRPr="006E6DA8" w:rsidRDefault="00AD52ED" w:rsidP="00CD7485"/>
        </w:tc>
        <w:tc>
          <w:tcPr>
            <w:tcW w:w="3662" w:type="dxa"/>
          </w:tcPr>
          <w:p w14:paraId="69570D08" w14:textId="77777777" w:rsidR="00AD52ED" w:rsidRDefault="00AD52ED"/>
          <w:p w14:paraId="34A183AB" w14:textId="77777777" w:rsidR="00233BA3" w:rsidRDefault="00233BA3"/>
          <w:p w14:paraId="382FD1F5" w14:textId="54CB5850" w:rsidR="00233BA3" w:rsidRDefault="00233BA3">
            <w:r w:rsidRPr="006E6DA8">
              <w:t>This presents a balanced view of their performance</w:t>
            </w:r>
            <w:r>
              <w:t xml:space="preserve">.  It also </w:t>
            </w:r>
            <w:r w:rsidRPr="006E6DA8">
              <w:t>contextualizes their progress</w:t>
            </w:r>
            <w:r>
              <w:t xml:space="preserve"> over time. </w:t>
            </w:r>
          </w:p>
        </w:tc>
      </w:tr>
      <w:tr w:rsidR="00AD52ED" w14:paraId="1DE0AF93" w14:textId="1D968809" w:rsidTr="00AD52ED">
        <w:tc>
          <w:tcPr>
            <w:tcW w:w="1468" w:type="dxa"/>
          </w:tcPr>
          <w:p w14:paraId="19595022" w14:textId="51A7D1E4" w:rsidR="00AD52ED" w:rsidRDefault="00AD52ED">
            <w:r>
              <w:t>Name the challenge</w:t>
            </w:r>
          </w:p>
        </w:tc>
        <w:tc>
          <w:tcPr>
            <w:tcW w:w="3662" w:type="dxa"/>
          </w:tcPr>
          <w:p w14:paraId="3FBFC420" w14:textId="77777777" w:rsidR="00AD52ED" w:rsidRPr="00233BA3" w:rsidRDefault="00AD52ED">
            <w:r w:rsidRPr="00230828">
              <w:rPr>
                <w:b/>
                <w:bCs/>
              </w:rPr>
              <w:t>“</w:t>
            </w:r>
            <w:r w:rsidRPr="00233BA3">
              <w:t xml:space="preserve">Balancing brevity with completeness”  </w:t>
            </w:r>
          </w:p>
          <w:p w14:paraId="260D2D9A" w14:textId="7A903961" w:rsidR="00AD52ED" w:rsidRDefault="00AD52ED" w:rsidP="00233BA3"/>
        </w:tc>
        <w:tc>
          <w:tcPr>
            <w:tcW w:w="3662" w:type="dxa"/>
          </w:tcPr>
          <w:p w14:paraId="6CCF4E1D" w14:textId="77777777" w:rsidR="00233BA3" w:rsidRDefault="00233BA3" w:rsidP="00233BA3">
            <w:r w:rsidRPr="00233BA3">
              <w:t xml:space="preserve">This </w:t>
            </w:r>
            <w:r>
              <w:t xml:space="preserve">names the challenge in a neutral way, which makes it discussable by the whole group.  </w:t>
            </w:r>
          </w:p>
          <w:p w14:paraId="2D96203A" w14:textId="77777777" w:rsidR="00233BA3" w:rsidRDefault="00233BA3" w:rsidP="00233BA3"/>
          <w:p w14:paraId="12C59E03" w14:textId="7668F2C0" w:rsidR="00233BA3" w:rsidRDefault="00233BA3" w:rsidP="00233BA3">
            <w:r>
              <w:t xml:space="preserve">It normalizes a struggle that is common in nursing practice </w:t>
            </w:r>
          </w:p>
          <w:p w14:paraId="32ED878E" w14:textId="424B946F" w:rsidR="00AD52ED" w:rsidRPr="00233BA3" w:rsidRDefault="00AD52ED"/>
        </w:tc>
      </w:tr>
      <w:tr w:rsidR="00AD52ED" w14:paraId="033CEEE1" w14:textId="5D761499" w:rsidTr="00AD52ED">
        <w:tc>
          <w:tcPr>
            <w:tcW w:w="1468" w:type="dxa"/>
          </w:tcPr>
          <w:p w14:paraId="4FBC65A1" w14:textId="23774615" w:rsidR="00AD52ED" w:rsidRDefault="00AD52ED">
            <w:r>
              <w:t>Break down the call</w:t>
            </w:r>
          </w:p>
        </w:tc>
        <w:tc>
          <w:tcPr>
            <w:tcW w:w="3662" w:type="dxa"/>
          </w:tcPr>
          <w:p w14:paraId="45CB6F20" w14:textId="77777777" w:rsidR="00AD52ED" w:rsidRDefault="00AD52ED">
            <w:r>
              <w:t>1</w:t>
            </w:r>
            <w:r w:rsidRPr="00230828">
              <w:rPr>
                <w:vertAlign w:val="superscript"/>
              </w:rPr>
              <w:t>st</w:t>
            </w:r>
            <w:r>
              <w:t xml:space="preserve"> ask their approach </w:t>
            </w:r>
          </w:p>
          <w:p w14:paraId="606D3F79" w14:textId="77777777" w:rsidR="00AD52ED" w:rsidRDefault="00AD52ED"/>
          <w:p w14:paraId="5A43015F" w14:textId="77777777" w:rsidR="00233BA3" w:rsidRDefault="00233BA3"/>
          <w:p w14:paraId="10208344" w14:textId="77777777" w:rsidR="00233BA3" w:rsidRDefault="00233BA3"/>
          <w:p w14:paraId="3F2FA8BF" w14:textId="77777777" w:rsidR="00233BA3" w:rsidRDefault="00233BA3"/>
          <w:p w14:paraId="434D6E3A" w14:textId="77777777" w:rsidR="00233BA3" w:rsidRDefault="00233BA3"/>
          <w:p w14:paraId="58D8468E" w14:textId="18EC7DC0" w:rsidR="00AD52ED" w:rsidRPr="00233BA3" w:rsidRDefault="00233BA3">
            <w:pPr>
              <w:rPr>
                <w:i/>
                <w:iCs/>
              </w:rPr>
            </w:pPr>
            <w:r>
              <w:t>The facilitator</w:t>
            </w:r>
            <w:r w:rsidR="00AD52ED">
              <w:t xml:space="preserve"> models how </w:t>
            </w:r>
            <w:r>
              <w:t xml:space="preserve">they </w:t>
            </w:r>
            <w:r w:rsidR="00AD52ED">
              <w:t>think</w:t>
            </w:r>
            <w:r>
              <w:t xml:space="preserve"> about the “B” in </w:t>
            </w:r>
            <w:proofErr w:type="gramStart"/>
            <w:r>
              <w:t>SBAR</w:t>
            </w:r>
            <w:r w:rsidR="00AD52ED">
              <w:t xml:space="preserve">  </w:t>
            </w:r>
            <w:r w:rsidR="00AD52ED" w:rsidRPr="00CD7485">
              <w:rPr>
                <w:b/>
                <w:bCs/>
              </w:rPr>
              <w:t>“</w:t>
            </w:r>
            <w:proofErr w:type="gramEnd"/>
            <w:r w:rsidR="00AD52ED" w:rsidRPr="00233BA3">
              <w:rPr>
                <w:i/>
                <w:iCs/>
              </w:rPr>
              <w:t xml:space="preserve">Anything that doesn’t have to do with the problem – e.g. history of heart failure”.  </w:t>
            </w:r>
          </w:p>
          <w:p w14:paraId="795C25AC" w14:textId="103D40D2" w:rsidR="00AD52ED" w:rsidRDefault="00AD52ED"/>
        </w:tc>
        <w:tc>
          <w:tcPr>
            <w:tcW w:w="3662" w:type="dxa"/>
          </w:tcPr>
          <w:p w14:paraId="10442387" w14:textId="77777777" w:rsidR="00233BA3" w:rsidRDefault="00233BA3">
            <w:r>
              <w:t xml:space="preserve">Asking their approach allows the facilitator to get a more holistic view of their actions and thinking. </w:t>
            </w:r>
          </w:p>
          <w:p w14:paraId="09FE0E47" w14:textId="77777777" w:rsidR="00233BA3" w:rsidRDefault="00233BA3"/>
          <w:p w14:paraId="42C0F375" w14:textId="77777777" w:rsidR="00233BA3" w:rsidRDefault="00233BA3"/>
          <w:p w14:paraId="1FE63A0B" w14:textId="77777777" w:rsidR="00233BA3" w:rsidRDefault="00233BA3"/>
          <w:p w14:paraId="16010C66" w14:textId="3C43A3B9" w:rsidR="00AD52ED" w:rsidRDefault="00233BA3">
            <w:r>
              <w:t xml:space="preserve">The facilitator does not spend time asking pseudo-Socratic and/or “guess what I’m thinking” questions.  They model their expert </w:t>
            </w:r>
            <w:proofErr w:type="gramStart"/>
            <w:r>
              <w:t>thinking, and</w:t>
            </w:r>
            <w:proofErr w:type="gramEnd"/>
            <w:r>
              <w:t xml:space="preserve"> then ask learners for their thoughts about it.     </w:t>
            </w:r>
          </w:p>
        </w:tc>
      </w:tr>
      <w:tr w:rsidR="00AD52ED" w14:paraId="2E703AA7" w14:textId="41455E3A" w:rsidTr="00AD52ED">
        <w:tc>
          <w:tcPr>
            <w:tcW w:w="1468" w:type="dxa"/>
          </w:tcPr>
          <w:p w14:paraId="53A4D945" w14:textId="133FDFFA" w:rsidR="00AD52ED" w:rsidRDefault="00AD52ED">
            <w:r>
              <w:lastRenderedPageBreak/>
              <w:t>Redo</w:t>
            </w:r>
          </w:p>
        </w:tc>
        <w:tc>
          <w:tcPr>
            <w:tcW w:w="3662" w:type="dxa"/>
          </w:tcPr>
          <w:p w14:paraId="1F35B5A5" w14:textId="77777777" w:rsidR="00AD52ED" w:rsidRDefault="00AD52ED">
            <w:proofErr w:type="gramStart"/>
            <w:r>
              <w:t>Checks</w:t>
            </w:r>
            <w:proofErr w:type="gramEnd"/>
            <w:r>
              <w:t xml:space="preserve"> ability to apply new knowledge/skill</w:t>
            </w:r>
          </w:p>
          <w:p w14:paraId="2414BAA7" w14:textId="6991E70E" w:rsidR="00AD52ED" w:rsidRDefault="00AD52ED"/>
        </w:tc>
        <w:tc>
          <w:tcPr>
            <w:tcW w:w="3662" w:type="dxa"/>
          </w:tcPr>
          <w:p w14:paraId="1D3CA140" w14:textId="74FC8895" w:rsidR="00AD52ED" w:rsidRDefault="00233BA3">
            <w:r>
              <w:t xml:space="preserve">When coaching an emerging skill, deliberate practice helps to make learning more durable.  </w:t>
            </w:r>
          </w:p>
        </w:tc>
      </w:tr>
    </w:tbl>
    <w:p w14:paraId="6DB099BD" w14:textId="77777777" w:rsidR="001F465D" w:rsidRDefault="001F465D"/>
    <w:p w14:paraId="7DCB9F7D" w14:textId="77777777" w:rsidR="00AD52ED" w:rsidRDefault="00AD52ED"/>
    <w:p w14:paraId="67B58780" w14:textId="77777777" w:rsidR="00AD52ED" w:rsidRDefault="00AD52ED"/>
    <w:p w14:paraId="66EA2B0E" w14:textId="77777777" w:rsidR="00AD52ED" w:rsidRDefault="00AD52ED"/>
    <w:tbl>
      <w:tblPr>
        <w:tblStyle w:val="TableGrid"/>
        <w:tblW w:w="9085" w:type="dxa"/>
        <w:tblInd w:w="265" w:type="dxa"/>
        <w:tblLook w:val="04A0" w:firstRow="1" w:lastRow="0" w:firstColumn="1" w:lastColumn="0" w:noHBand="0" w:noVBand="1"/>
      </w:tblPr>
      <w:tblGrid>
        <w:gridCol w:w="1468"/>
        <w:gridCol w:w="3842"/>
        <w:gridCol w:w="3775"/>
      </w:tblGrid>
      <w:tr w:rsidR="00A84E0E" w:rsidRPr="00230828" w14:paraId="0984A7BA" w14:textId="253E2C31" w:rsidTr="00B86C92">
        <w:tc>
          <w:tcPr>
            <w:tcW w:w="9085" w:type="dxa"/>
            <w:gridSpan w:val="3"/>
            <w:shd w:val="clear" w:color="auto" w:fill="A5C9EB" w:themeFill="text2" w:themeFillTint="40"/>
          </w:tcPr>
          <w:p w14:paraId="6919983C" w14:textId="77777777" w:rsidR="00A84E0E" w:rsidRDefault="00A84E0E" w:rsidP="00417FF6">
            <w:pPr>
              <w:jc w:val="center"/>
              <w:rPr>
                <w:b/>
                <w:bCs/>
              </w:rPr>
            </w:pPr>
            <w:r>
              <w:rPr>
                <w:b/>
                <w:bCs/>
              </w:rPr>
              <w:t>Opportunity Coaching script &amp; teaching notes</w:t>
            </w:r>
          </w:p>
          <w:p w14:paraId="5D3207E0" w14:textId="77777777" w:rsidR="00A84E0E" w:rsidRDefault="00A84E0E" w:rsidP="00417FF6">
            <w:pPr>
              <w:jc w:val="center"/>
              <w:rPr>
                <w:b/>
                <w:bCs/>
              </w:rPr>
            </w:pPr>
          </w:p>
        </w:tc>
      </w:tr>
      <w:tr w:rsidR="00A84E0E" w:rsidRPr="00230828" w14:paraId="2FDC88BE" w14:textId="6364FF6E" w:rsidTr="00A84E0E">
        <w:tc>
          <w:tcPr>
            <w:tcW w:w="1468" w:type="dxa"/>
          </w:tcPr>
          <w:p w14:paraId="03FA1D6A" w14:textId="77777777" w:rsidR="00A84E0E" w:rsidRDefault="00A84E0E" w:rsidP="00A84E0E">
            <w:pPr>
              <w:jc w:val="center"/>
              <w:rPr>
                <w:b/>
                <w:bCs/>
              </w:rPr>
            </w:pPr>
          </w:p>
        </w:tc>
        <w:tc>
          <w:tcPr>
            <w:tcW w:w="3842" w:type="dxa"/>
          </w:tcPr>
          <w:p w14:paraId="01ED4E91" w14:textId="6AE23AE4" w:rsidR="00A84E0E" w:rsidRDefault="00A84E0E" w:rsidP="00A84E0E">
            <w:pPr>
              <w:jc w:val="center"/>
              <w:rPr>
                <w:b/>
                <w:bCs/>
              </w:rPr>
            </w:pPr>
            <w:r>
              <w:rPr>
                <w:b/>
                <w:bCs/>
              </w:rPr>
              <w:t>Dialogue</w:t>
            </w:r>
          </w:p>
          <w:p w14:paraId="07EBCA26" w14:textId="77777777" w:rsidR="00A84E0E" w:rsidRPr="00230828" w:rsidRDefault="00A84E0E" w:rsidP="00A84E0E">
            <w:pPr>
              <w:jc w:val="center"/>
              <w:rPr>
                <w:b/>
                <w:bCs/>
              </w:rPr>
            </w:pPr>
          </w:p>
        </w:tc>
        <w:tc>
          <w:tcPr>
            <w:tcW w:w="3775" w:type="dxa"/>
          </w:tcPr>
          <w:p w14:paraId="34A7FDBF" w14:textId="1B58AA2B" w:rsidR="00A84E0E" w:rsidRDefault="00A84E0E" w:rsidP="00A84E0E">
            <w:pPr>
              <w:jc w:val="center"/>
              <w:rPr>
                <w:b/>
                <w:bCs/>
              </w:rPr>
            </w:pPr>
            <w:r>
              <w:rPr>
                <w:b/>
                <w:bCs/>
              </w:rPr>
              <w:t>Notes</w:t>
            </w:r>
          </w:p>
        </w:tc>
      </w:tr>
      <w:tr w:rsidR="00A84E0E" w14:paraId="67D04424" w14:textId="2BBE599C" w:rsidTr="00A84E0E">
        <w:tc>
          <w:tcPr>
            <w:tcW w:w="1468" w:type="dxa"/>
          </w:tcPr>
          <w:p w14:paraId="1D45B22B" w14:textId="5F72CED4" w:rsidR="00A84E0E" w:rsidRDefault="00A84E0E" w:rsidP="00A84E0E">
            <w:r>
              <w:t>Initial global assessment of phone call</w:t>
            </w:r>
          </w:p>
        </w:tc>
        <w:tc>
          <w:tcPr>
            <w:tcW w:w="3842" w:type="dxa"/>
          </w:tcPr>
          <w:p w14:paraId="15DB0AB6" w14:textId="77777777" w:rsidR="00A84E0E" w:rsidRDefault="00A84E0E" w:rsidP="00A84E0E">
            <w:r>
              <w:t>Standing, arms crossed</w:t>
            </w:r>
          </w:p>
          <w:p w14:paraId="3CD4B14D" w14:textId="77777777" w:rsidR="00A84E0E" w:rsidRDefault="00A84E0E" w:rsidP="00A84E0E"/>
          <w:p w14:paraId="0F36A1D1" w14:textId="77777777" w:rsidR="00A84E0E" w:rsidRDefault="00A84E0E" w:rsidP="00A84E0E"/>
          <w:p w14:paraId="3DEA7D28" w14:textId="5414D880" w:rsidR="00A84E0E" w:rsidRDefault="00A84E0E" w:rsidP="00A84E0E">
            <w:r>
              <w:t xml:space="preserve">Gives overall negative assessment of phone call </w:t>
            </w:r>
          </w:p>
        </w:tc>
        <w:tc>
          <w:tcPr>
            <w:tcW w:w="3775" w:type="dxa"/>
          </w:tcPr>
          <w:p w14:paraId="0F7259D7" w14:textId="3C9A2197" w:rsidR="00A84E0E" w:rsidRDefault="00A84E0E" w:rsidP="00A84E0E">
            <w:r>
              <w:t>Non-</w:t>
            </w:r>
            <w:proofErr w:type="spellStart"/>
            <w:r>
              <w:t>verbals</w:t>
            </w:r>
            <w:proofErr w:type="spellEnd"/>
            <w:r>
              <w:t xml:space="preserve"> are not welcoming</w:t>
            </w:r>
          </w:p>
          <w:p w14:paraId="37D88CBC" w14:textId="77777777" w:rsidR="00A84E0E" w:rsidRDefault="00A84E0E" w:rsidP="00A84E0E"/>
          <w:p w14:paraId="40808B9D" w14:textId="67619E29" w:rsidR="00A84E0E" w:rsidRDefault="00A84E0E" w:rsidP="00A84E0E">
            <w:r>
              <w:t xml:space="preserve">This does not present a balanced view of their performance.  </w:t>
            </w:r>
          </w:p>
        </w:tc>
      </w:tr>
      <w:tr w:rsidR="00A84E0E" w14:paraId="29A9516B" w14:textId="1E78ECFD" w:rsidTr="00A84E0E">
        <w:tc>
          <w:tcPr>
            <w:tcW w:w="1468" w:type="dxa"/>
          </w:tcPr>
          <w:p w14:paraId="0957A4B8" w14:textId="5275796D" w:rsidR="00A84E0E" w:rsidRDefault="00A84E0E" w:rsidP="00A84E0E">
            <w:r>
              <w:t>Name the challenge</w:t>
            </w:r>
          </w:p>
        </w:tc>
        <w:tc>
          <w:tcPr>
            <w:tcW w:w="3842" w:type="dxa"/>
          </w:tcPr>
          <w:p w14:paraId="3BD30666" w14:textId="6E9A1865" w:rsidR="00A84E0E" w:rsidRDefault="00DD2E9D" w:rsidP="00A84E0E">
            <w:r>
              <w:t>Does not do this</w:t>
            </w:r>
          </w:p>
        </w:tc>
        <w:tc>
          <w:tcPr>
            <w:tcW w:w="3775" w:type="dxa"/>
          </w:tcPr>
          <w:p w14:paraId="20286F6B" w14:textId="77777777" w:rsidR="00A84E0E" w:rsidRDefault="00A84E0E" w:rsidP="00A84E0E"/>
        </w:tc>
      </w:tr>
      <w:tr w:rsidR="00A84E0E" w14:paraId="31BB1586" w14:textId="4A47169D" w:rsidTr="00A84E0E">
        <w:tc>
          <w:tcPr>
            <w:tcW w:w="1468" w:type="dxa"/>
          </w:tcPr>
          <w:p w14:paraId="5A32FFC0" w14:textId="7FC01F57" w:rsidR="00A84E0E" w:rsidRDefault="00A84E0E" w:rsidP="00A84E0E">
            <w:r>
              <w:t>Break down the call</w:t>
            </w:r>
          </w:p>
        </w:tc>
        <w:tc>
          <w:tcPr>
            <w:tcW w:w="3842" w:type="dxa"/>
          </w:tcPr>
          <w:p w14:paraId="644606E8" w14:textId="389AF1E9" w:rsidR="00A84E0E" w:rsidRDefault="00DD2E9D" w:rsidP="00A84E0E">
            <w:r>
              <w:t>“</w:t>
            </w:r>
            <w:r w:rsidR="00A84E0E">
              <w:t>What did you leave out?</w:t>
            </w:r>
            <w:r>
              <w:t>”</w:t>
            </w:r>
          </w:p>
          <w:p w14:paraId="6D83E97D" w14:textId="0DAC15A7" w:rsidR="00A84E0E" w:rsidRDefault="00DD2E9D" w:rsidP="00A84E0E">
            <w:r>
              <w:t>“</w:t>
            </w:r>
            <w:r w:rsidR="00A84E0E">
              <w:t>No, that’s not what I’m thinking…</w:t>
            </w:r>
            <w:r>
              <w:t>”</w:t>
            </w:r>
          </w:p>
          <w:p w14:paraId="1F62ABD4" w14:textId="5C00B056" w:rsidR="00DD2E9D" w:rsidRDefault="00DD2E9D" w:rsidP="00A84E0E">
            <w:r>
              <w:t>“What else…”</w:t>
            </w:r>
          </w:p>
          <w:p w14:paraId="78A1603C" w14:textId="77777777" w:rsidR="00A84E0E" w:rsidRDefault="00A84E0E" w:rsidP="00A84E0E"/>
          <w:p w14:paraId="3EA6B7B3" w14:textId="77777777" w:rsidR="00A84E0E" w:rsidRDefault="00A84E0E" w:rsidP="00A84E0E"/>
          <w:p w14:paraId="4F66D48B" w14:textId="77777777" w:rsidR="00DD2E9D" w:rsidRDefault="00DD2E9D" w:rsidP="00A84E0E"/>
          <w:p w14:paraId="63030F14" w14:textId="77777777" w:rsidR="00DD2E9D" w:rsidRDefault="00DD2E9D" w:rsidP="00A84E0E"/>
          <w:p w14:paraId="7CE6BDEE" w14:textId="77777777" w:rsidR="00DD2E9D" w:rsidRDefault="00DD2E9D" w:rsidP="00A84E0E"/>
          <w:p w14:paraId="6DB62AC8" w14:textId="77777777" w:rsidR="00DD2E9D" w:rsidRDefault="00DD2E9D" w:rsidP="00DD2E9D"/>
          <w:p w14:paraId="2FA03FC4" w14:textId="6A4B818F" w:rsidR="00A84E0E" w:rsidRDefault="00DD2E9D" w:rsidP="00DD2E9D">
            <w:r>
              <w:t xml:space="preserve">Eventually tells the learners to </w:t>
            </w:r>
            <w:r w:rsidR="00A84E0E">
              <w:t>“</w:t>
            </w:r>
            <w:r w:rsidR="00A84E0E" w:rsidRPr="00DD2E9D">
              <w:t>Only include what’s related to the problem” -</w:t>
            </w:r>
            <w:r w:rsidR="00A84E0E">
              <w:t xml:space="preserve"> </w:t>
            </w:r>
          </w:p>
        </w:tc>
        <w:tc>
          <w:tcPr>
            <w:tcW w:w="3775" w:type="dxa"/>
          </w:tcPr>
          <w:p w14:paraId="674C90ED" w14:textId="603E17AD" w:rsidR="00A84E0E" w:rsidRDefault="00DD2E9D" w:rsidP="00A84E0E">
            <w:r>
              <w:t xml:space="preserve">Asking “guess what I’m thinking questions”.  This is inefficient, does not help the facilitator understand the learners’ thinking, and can cause anxiety for learners as they struggle to figure out what the facilitator wants them to say.  </w:t>
            </w:r>
          </w:p>
          <w:p w14:paraId="24F26FB2" w14:textId="77777777" w:rsidR="00A84E0E" w:rsidRDefault="00A84E0E" w:rsidP="00A84E0E"/>
          <w:p w14:paraId="2081B707" w14:textId="77777777" w:rsidR="00A84E0E" w:rsidRDefault="00A84E0E" w:rsidP="00A84E0E"/>
          <w:p w14:paraId="2B574A75" w14:textId="3E72FAE5" w:rsidR="00A84E0E" w:rsidRDefault="00DD2E9D" w:rsidP="00A84E0E">
            <w:r>
              <w:t xml:space="preserve">Does </w:t>
            </w:r>
            <w:proofErr w:type="gramStart"/>
            <w:r>
              <w:t xml:space="preserve">not </w:t>
            </w:r>
            <w:r w:rsidR="00A84E0E">
              <w:t xml:space="preserve"> give</w:t>
            </w:r>
            <w:proofErr w:type="gramEnd"/>
            <w:r w:rsidR="00A84E0E">
              <w:t xml:space="preserve"> concrete examples of how to decide </w:t>
            </w:r>
            <w:r>
              <w:t xml:space="preserve">exactly what those items are that should be included.  </w:t>
            </w:r>
          </w:p>
          <w:p w14:paraId="243B6E76" w14:textId="77777777" w:rsidR="00A84E0E" w:rsidRDefault="00A84E0E" w:rsidP="00A84E0E"/>
        </w:tc>
      </w:tr>
      <w:tr w:rsidR="00A84E0E" w14:paraId="0FE64255" w14:textId="17096E26" w:rsidTr="00A84E0E">
        <w:tc>
          <w:tcPr>
            <w:tcW w:w="1468" w:type="dxa"/>
          </w:tcPr>
          <w:p w14:paraId="639EDBB2" w14:textId="087F3728" w:rsidR="00A84E0E" w:rsidRDefault="00A84E0E" w:rsidP="00A84E0E">
            <w:r>
              <w:t>Redo</w:t>
            </w:r>
          </w:p>
        </w:tc>
        <w:tc>
          <w:tcPr>
            <w:tcW w:w="3842" w:type="dxa"/>
          </w:tcPr>
          <w:p w14:paraId="2EB8B406" w14:textId="77777777" w:rsidR="00A84E0E" w:rsidRDefault="00A84E0E" w:rsidP="00A84E0E"/>
          <w:p w14:paraId="7EDF1E2C" w14:textId="5BB58242" w:rsidR="00A84E0E" w:rsidRDefault="00DD2E9D" w:rsidP="00A84E0E">
            <w:r>
              <w:t>Does not do this</w:t>
            </w:r>
          </w:p>
          <w:p w14:paraId="42C07E5F" w14:textId="77777777" w:rsidR="00DD2E9D" w:rsidRDefault="00DD2E9D" w:rsidP="00A84E0E"/>
          <w:p w14:paraId="5417AB71" w14:textId="365A2E4C" w:rsidR="00DD2E9D" w:rsidRDefault="00DD2E9D" w:rsidP="00DD2E9D">
            <w:r>
              <w:t xml:space="preserve">Explains why SBAR is important and how she’s just trying to be helpful.  </w:t>
            </w:r>
          </w:p>
          <w:p w14:paraId="00C3015B" w14:textId="77777777" w:rsidR="00DD2E9D" w:rsidRDefault="00DD2E9D" w:rsidP="00A84E0E"/>
          <w:p w14:paraId="50956F93" w14:textId="77777777" w:rsidR="00A84E0E" w:rsidRDefault="00A84E0E" w:rsidP="00A84E0E"/>
        </w:tc>
        <w:tc>
          <w:tcPr>
            <w:tcW w:w="3775" w:type="dxa"/>
          </w:tcPr>
          <w:p w14:paraId="1AF5A009" w14:textId="77777777" w:rsidR="00A84E0E" w:rsidRDefault="00A84E0E" w:rsidP="00DD2E9D"/>
          <w:p w14:paraId="5FD37401" w14:textId="4661AD49" w:rsidR="00DD2E9D" w:rsidRDefault="00DD2E9D" w:rsidP="00DD2E9D">
            <w:r>
              <w:t xml:space="preserve">The needed re-assessment following the coaching did not occur, so the facilitator does not know if the learners can construct an SBAR call.  </w:t>
            </w:r>
          </w:p>
        </w:tc>
      </w:tr>
    </w:tbl>
    <w:p w14:paraId="6CD45AE1" w14:textId="77777777" w:rsidR="00AD52ED" w:rsidRDefault="00AD52ED"/>
    <w:sectPr w:rsidR="00AD5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CF"/>
    <w:rsid w:val="000005D8"/>
    <w:rsid w:val="00000755"/>
    <w:rsid w:val="000205E1"/>
    <w:rsid w:val="000232C4"/>
    <w:rsid w:val="000507A7"/>
    <w:rsid w:val="00052B40"/>
    <w:rsid w:val="00073BC9"/>
    <w:rsid w:val="00077495"/>
    <w:rsid w:val="00081CEE"/>
    <w:rsid w:val="00083646"/>
    <w:rsid w:val="00096EDE"/>
    <w:rsid w:val="00097C4D"/>
    <w:rsid w:val="000A3906"/>
    <w:rsid w:val="000B686E"/>
    <w:rsid w:val="000C08C5"/>
    <w:rsid w:val="00100EDD"/>
    <w:rsid w:val="00110C41"/>
    <w:rsid w:val="001125C9"/>
    <w:rsid w:val="00130908"/>
    <w:rsid w:val="001352DF"/>
    <w:rsid w:val="00136ECC"/>
    <w:rsid w:val="001379D1"/>
    <w:rsid w:val="00141EF7"/>
    <w:rsid w:val="00151426"/>
    <w:rsid w:val="00172767"/>
    <w:rsid w:val="001A48DA"/>
    <w:rsid w:val="001A4B20"/>
    <w:rsid w:val="001A729F"/>
    <w:rsid w:val="001B30A0"/>
    <w:rsid w:val="001C7471"/>
    <w:rsid w:val="001F442F"/>
    <w:rsid w:val="001F465D"/>
    <w:rsid w:val="001F5D87"/>
    <w:rsid w:val="002001E0"/>
    <w:rsid w:val="00202DBD"/>
    <w:rsid w:val="0020733C"/>
    <w:rsid w:val="00207BD2"/>
    <w:rsid w:val="00226724"/>
    <w:rsid w:val="00227A5C"/>
    <w:rsid w:val="00230828"/>
    <w:rsid w:val="00233BA3"/>
    <w:rsid w:val="002353F5"/>
    <w:rsid w:val="00251241"/>
    <w:rsid w:val="002741AE"/>
    <w:rsid w:val="002814D3"/>
    <w:rsid w:val="0028759B"/>
    <w:rsid w:val="002B7A72"/>
    <w:rsid w:val="002D0ED6"/>
    <w:rsid w:val="002D4B42"/>
    <w:rsid w:val="002F0702"/>
    <w:rsid w:val="00312924"/>
    <w:rsid w:val="00325028"/>
    <w:rsid w:val="0033058F"/>
    <w:rsid w:val="0033235D"/>
    <w:rsid w:val="00345715"/>
    <w:rsid w:val="00346701"/>
    <w:rsid w:val="00346721"/>
    <w:rsid w:val="00376598"/>
    <w:rsid w:val="003811E2"/>
    <w:rsid w:val="003A3180"/>
    <w:rsid w:val="003C4E2F"/>
    <w:rsid w:val="003D7D64"/>
    <w:rsid w:val="003F1C05"/>
    <w:rsid w:val="00410FD1"/>
    <w:rsid w:val="00413ECF"/>
    <w:rsid w:val="00422728"/>
    <w:rsid w:val="004A1082"/>
    <w:rsid w:val="004C64B7"/>
    <w:rsid w:val="004C6C20"/>
    <w:rsid w:val="004F1493"/>
    <w:rsid w:val="00550911"/>
    <w:rsid w:val="00554F75"/>
    <w:rsid w:val="00557502"/>
    <w:rsid w:val="00566710"/>
    <w:rsid w:val="005C1271"/>
    <w:rsid w:val="005C4A18"/>
    <w:rsid w:val="005D142D"/>
    <w:rsid w:val="005E5DE5"/>
    <w:rsid w:val="00610F14"/>
    <w:rsid w:val="00675E4E"/>
    <w:rsid w:val="006E37D6"/>
    <w:rsid w:val="006E3D98"/>
    <w:rsid w:val="006E6DA8"/>
    <w:rsid w:val="006E7088"/>
    <w:rsid w:val="006F7CBB"/>
    <w:rsid w:val="007032D0"/>
    <w:rsid w:val="00704D01"/>
    <w:rsid w:val="00725524"/>
    <w:rsid w:val="007644ED"/>
    <w:rsid w:val="00767F9F"/>
    <w:rsid w:val="00783E1E"/>
    <w:rsid w:val="007B6519"/>
    <w:rsid w:val="007C4BCA"/>
    <w:rsid w:val="007C71EB"/>
    <w:rsid w:val="007E0E4C"/>
    <w:rsid w:val="00807EE9"/>
    <w:rsid w:val="008149B3"/>
    <w:rsid w:val="00836B14"/>
    <w:rsid w:val="00863A23"/>
    <w:rsid w:val="008A1A37"/>
    <w:rsid w:val="008A4A35"/>
    <w:rsid w:val="008B6A79"/>
    <w:rsid w:val="008D182B"/>
    <w:rsid w:val="008E64E7"/>
    <w:rsid w:val="008E70DB"/>
    <w:rsid w:val="00924DF5"/>
    <w:rsid w:val="00927EE1"/>
    <w:rsid w:val="00933126"/>
    <w:rsid w:val="00945BA2"/>
    <w:rsid w:val="00962AA0"/>
    <w:rsid w:val="0096300F"/>
    <w:rsid w:val="009759AC"/>
    <w:rsid w:val="00976BB7"/>
    <w:rsid w:val="00981D28"/>
    <w:rsid w:val="009A03E7"/>
    <w:rsid w:val="009B688B"/>
    <w:rsid w:val="009C2292"/>
    <w:rsid w:val="009F2795"/>
    <w:rsid w:val="009F2A91"/>
    <w:rsid w:val="009F6A7A"/>
    <w:rsid w:val="00A20963"/>
    <w:rsid w:val="00A24B5B"/>
    <w:rsid w:val="00A3025B"/>
    <w:rsid w:val="00A440A7"/>
    <w:rsid w:val="00A44A81"/>
    <w:rsid w:val="00A479E3"/>
    <w:rsid w:val="00A65697"/>
    <w:rsid w:val="00A71F35"/>
    <w:rsid w:val="00A84E0E"/>
    <w:rsid w:val="00AA460A"/>
    <w:rsid w:val="00AB696B"/>
    <w:rsid w:val="00AB6F18"/>
    <w:rsid w:val="00AD258E"/>
    <w:rsid w:val="00AD52ED"/>
    <w:rsid w:val="00AE1DAD"/>
    <w:rsid w:val="00AE58CB"/>
    <w:rsid w:val="00AF2B86"/>
    <w:rsid w:val="00B20531"/>
    <w:rsid w:val="00B32FF5"/>
    <w:rsid w:val="00B43D22"/>
    <w:rsid w:val="00B60EAE"/>
    <w:rsid w:val="00B77D1F"/>
    <w:rsid w:val="00BA3F08"/>
    <w:rsid w:val="00BB02C6"/>
    <w:rsid w:val="00BC7EFC"/>
    <w:rsid w:val="00BD0430"/>
    <w:rsid w:val="00BE0C6D"/>
    <w:rsid w:val="00BE1587"/>
    <w:rsid w:val="00C207A0"/>
    <w:rsid w:val="00C35E06"/>
    <w:rsid w:val="00C42BE0"/>
    <w:rsid w:val="00C821AF"/>
    <w:rsid w:val="00C82D4C"/>
    <w:rsid w:val="00CA19D2"/>
    <w:rsid w:val="00CA2604"/>
    <w:rsid w:val="00CB6264"/>
    <w:rsid w:val="00CD07E6"/>
    <w:rsid w:val="00CD7485"/>
    <w:rsid w:val="00D21C47"/>
    <w:rsid w:val="00D27171"/>
    <w:rsid w:val="00D31573"/>
    <w:rsid w:val="00D35B7F"/>
    <w:rsid w:val="00D550AE"/>
    <w:rsid w:val="00D71476"/>
    <w:rsid w:val="00D77846"/>
    <w:rsid w:val="00D77B4E"/>
    <w:rsid w:val="00DD2E9D"/>
    <w:rsid w:val="00DD7E5F"/>
    <w:rsid w:val="00DF0F2F"/>
    <w:rsid w:val="00E048F7"/>
    <w:rsid w:val="00E252CF"/>
    <w:rsid w:val="00E31433"/>
    <w:rsid w:val="00E33CAC"/>
    <w:rsid w:val="00E37B20"/>
    <w:rsid w:val="00E432D0"/>
    <w:rsid w:val="00E4765B"/>
    <w:rsid w:val="00E50183"/>
    <w:rsid w:val="00E510E4"/>
    <w:rsid w:val="00EB5C0F"/>
    <w:rsid w:val="00EC0512"/>
    <w:rsid w:val="00EC0E07"/>
    <w:rsid w:val="00ED5BBA"/>
    <w:rsid w:val="00F30396"/>
    <w:rsid w:val="00F373AF"/>
    <w:rsid w:val="00F54FCA"/>
    <w:rsid w:val="00F95698"/>
    <w:rsid w:val="00FB245C"/>
    <w:rsid w:val="00FD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85A9BA"/>
  <w15:chartTrackingRefBased/>
  <w15:docId w15:val="{55524B8B-59EE-C443-8AB1-D832EC15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2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2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2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2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2CF"/>
    <w:rPr>
      <w:rFonts w:eastAsiaTheme="majorEastAsia" w:cstheme="majorBidi"/>
      <w:color w:val="272727" w:themeColor="text1" w:themeTint="D8"/>
    </w:rPr>
  </w:style>
  <w:style w:type="paragraph" w:styleId="Title">
    <w:name w:val="Title"/>
    <w:basedOn w:val="Normal"/>
    <w:next w:val="Normal"/>
    <w:link w:val="TitleChar"/>
    <w:uiPriority w:val="10"/>
    <w:qFormat/>
    <w:rsid w:val="00E252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2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2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2CF"/>
    <w:rPr>
      <w:i/>
      <w:iCs/>
      <w:color w:val="404040" w:themeColor="text1" w:themeTint="BF"/>
    </w:rPr>
  </w:style>
  <w:style w:type="paragraph" w:styleId="ListParagraph">
    <w:name w:val="List Paragraph"/>
    <w:basedOn w:val="Normal"/>
    <w:uiPriority w:val="34"/>
    <w:qFormat/>
    <w:rsid w:val="00E252CF"/>
    <w:pPr>
      <w:ind w:left="720"/>
      <w:contextualSpacing/>
    </w:pPr>
  </w:style>
  <w:style w:type="character" w:styleId="IntenseEmphasis">
    <w:name w:val="Intense Emphasis"/>
    <w:basedOn w:val="DefaultParagraphFont"/>
    <w:uiPriority w:val="21"/>
    <w:qFormat/>
    <w:rsid w:val="00E252CF"/>
    <w:rPr>
      <w:i/>
      <w:iCs/>
      <w:color w:val="0F4761" w:themeColor="accent1" w:themeShade="BF"/>
    </w:rPr>
  </w:style>
  <w:style w:type="paragraph" w:styleId="IntenseQuote">
    <w:name w:val="Intense Quote"/>
    <w:basedOn w:val="Normal"/>
    <w:next w:val="Normal"/>
    <w:link w:val="IntenseQuoteChar"/>
    <w:uiPriority w:val="30"/>
    <w:qFormat/>
    <w:rsid w:val="00E25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2CF"/>
    <w:rPr>
      <w:i/>
      <w:iCs/>
      <w:color w:val="0F4761" w:themeColor="accent1" w:themeShade="BF"/>
    </w:rPr>
  </w:style>
  <w:style w:type="character" w:styleId="IntenseReference">
    <w:name w:val="Intense Reference"/>
    <w:basedOn w:val="DefaultParagraphFont"/>
    <w:uiPriority w:val="32"/>
    <w:qFormat/>
    <w:rsid w:val="00E252CF"/>
    <w:rPr>
      <w:b/>
      <w:bCs/>
      <w:smallCaps/>
      <w:color w:val="0F4761" w:themeColor="accent1" w:themeShade="BF"/>
      <w:spacing w:val="5"/>
    </w:rPr>
  </w:style>
  <w:style w:type="table" w:styleId="TableGrid">
    <w:name w:val="Table Grid"/>
    <w:basedOn w:val="TableNormal"/>
    <w:uiPriority w:val="39"/>
    <w:rsid w:val="001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Fey</dc:creator>
  <cp:keywords/>
  <dc:description/>
  <cp:lastModifiedBy>Mary Fey</cp:lastModifiedBy>
  <cp:revision>5</cp:revision>
  <cp:lastPrinted>2025-06-23T20:17:00Z</cp:lastPrinted>
  <dcterms:created xsi:type="dcterms:W3CDTF">2024-12-03T02:35:00Z</dcterms:created>
  <dcterms:modified xsi:type="dcterms:W3CDTF">2025-06-23T22:37:00Z</dcterms:modified>
</cp:coreProperties>
</file>