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7555"/>
        <w:tblGridChange w:id="0">
          <w:tblGrid>
            <w:gridCol w:w="1795"/>
            <w:gridCol w:w="7555"/>
          </w:tblGrid>
        </w:tblGridChange>
      </w:tblGrid>
      <w:tr>
        <w:trPr>
          <w:cantSplit w:val="0"/>
          <w:tblHeader w:val="0"/>
        </w:trPr>
        <w:tc>
          <w:tcPr>
            <w:gridSpan w:val="2"/>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OF THE SIMULATION</w:t>
            </w:r>
          </w:p>
        </w:tc>
      </w:tr>
      <w:tr>
        <w:trPr>
          <w:cantSplit w:val="0"/>
          <w:tblHeader w:val="0"/>
        </w:trPr>
        <w:tc>
          <w:tcPr>
            <w:gridSpan w:val="2"/>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onset memory loss in an independently living older adult, co-occurring with hypertension, hyperlipidemia, tobacco use disorder, as well as other possible comorbidities.</w:t>
            </w:r>
          </w:p>
        </w:tc>
      </w:tr>
      <w:tr>
        <w:trPr>
          <w:cantSplit w:val="0"/>
          <w:tblHeader w:val="0"/>
        </w:trPr>
        <w:tc>
          <w:tcPr>
            <w:gridSpan w:val="2"/>
          </w:tcPr>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DESIRED OUTCOME</w:t>
            </w:r>
          </w:p>
        </w:tc>
      </w:tr>
      <w:tr>
        <w:trPr>
          <w:cantSplit w:val="0"/>
          <w:tblHeader w:val="0"/>
        </w:trPr>
        <w:tc>
          <w:tcPr>
            <w:gridSpan w:val="2"/>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learner will demonstrate the ability to create a differential diagnosis based on the presenting symptoms. Complete an appropriate history and physical exam, including any testing indicated. And accurately conclude the diagnosis and develop a reasonable plan of care.</w:t>
            </w:r>
          </w:p>
        </w:tc>
      </w:tr>
      <w:tr>
        <w:trPr>
          <w:cantSplit w:val="0"/>
          <w:tblHeader w:val="0"/>
        </w:trPr>
        <w:tc>
          <w:tcPr>
            <w:gridSpan w:val="2"/>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LEARNER-CENTERED OBJECTIVES</w:t>
            </w:r>
          </w:p>
        </w:tc>
      </w:tr>
      <w:tr>
        <w:trPr>
          <w:cantSplit w:val="0"/>
          <w:tblHeader w:val="0"/>
        </w:trPr>
        <w:tc>
          <w:tcPr>
            <w:gridSpan w:val="2"/>
          </w:tcPr>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While participating in this simulation the learner will:</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Solicit patient history and appropriate physical exam.</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Identify lab, imaging, and diagnostic tests that should be performed to assist with diagnosing.</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Identify the likely diagnosis as well as differential diagnoses for this patient.</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Develop a management plan and provide appropriate patient education.</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Create and submit a SOAP note summarizing visit findings, assessment, and plan.</w:t>
            </w:r>
          </w:p>
        </w:tc>
      </w:tr>
      <w:tr>
        <w:trPr>
          <w:cantSplit w:val="0"/>
          <w:tblHeader w:val="0"/>
        </w:trPr>
        <w:tc>
          <w:tcPr>
            <w:gridSpan w:val="2"/>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CASE SPECIFICS</w:t>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Patient and presenting issue</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Chief Concern – </w:t>
            </w:r>
            <w:r w:rsidDel="00000000" w:rsidR="00000000" w:rsidRPr="00000000">
              <w:rPr>
                <w:rFonts w:ascii="Times New Roman" w:cs="Times New Roman" w:eastAsia="Times New Roman" w:hAnsi="Times New Roman"/>
                <w:color w:val="000000"/>
                <w:rtl w:val="0"/>
              </w:rPr>
              <w:t xml:space="preserve">“I’m just getting old.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 am so tired and forgetful, and I still miss my husband/wife terribly.”</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Subjective / Historical data –</w:t>
            </w:r>
            <w:r w:rsidDel="00000000" w:rsidR="00000000" w:rsidRPr="00000000">
              <w:rPr>
                <w:rFonts w:ascii="Times New Roman" w:cs="Times New Roman" w:eastAsia="Times New Roman" w:hAnsi="Times New Roman"/>
                <w:color w:val="000000"/>
                <w:rtl w:val="0"/>
              </w:rPr>
              <w:t xml:space="preserve"> Pt. lives independently in an apartment above a restaurant that they owned and operated with their spouse.  Presents today as a new patient to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000000"/>
                <w:rtl w:val="0"/>
              </w:rPr>
              <w:t xml:space="preserve">primary care clinic.  Spouse suddenly died </w:t>
            </w:r>
            <w:r w:rsidDel="00000000" w:rsidR="00000000" w:rsidRPr="00000000">
              <w:rPr>
                <w:rFonts w:ascii="Times New Roman" w:cs="Times New Roman" w:eastAsia="Times New Roman" w:hAnsi="Times New Roman"/>
                <w:rtl w:val="0"/>
              </w:rPr>
              <w:t xml:space="preserve">nine</w:t>
            </w:r>
            <w:r w:rsidDel="00000000" w:rsidR="00000000" w:rsidRPr="00000000">
              <w:rPr>
                <w:rFonts w:ascii="Times New Roman" w:cs="Times New Roman" w:eastAsia="Times New Roman" w:hAnsi="Times New Roman"/>
                <w:color w:val="000000"/>
                <w:rtl w:val="0"/>
              </w:rPr>
              <w:t xml:space="preserve"> months ago of a heart attack.  Family has been visiting more and has encouraged Pt. to reestablish primary care.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Appropriate symptoms – “not feeling like myself”, fatigue / low energy, variable appetite, does not like completing tasks.  “I haven’t bounced back since my spouse died”.  Sleeping excessively and sleep is of poor quality.  Previously a very good cook/baker, now unable to follow recipes or produce tasty food.  More social withdrawal, “I don’t see friends like I used to”.  Previously ran all books for the restaurant, now unable to keep up with bills / budget.  “Things just don’t add up”.  Anxiety might be appropriate. She used to have primary care but hasn</w:t>
            </w:r>
            <w:r w:rsidDel="00000000" w:rsidR="00000000" w:rsidRPr="00000000">
              <w:rPr>
                <w:rFonts w:ascii="Times New Roman" w:cs="Times New Roman" w:eastAsia="Times New Roman" w:hAnsi="Times New Roman"/>
                <w:rtl w:val="0"/>
              </w:rPr>
              <w:t xml:space="preserve">’t been “for a long time”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Pertinent negatives – no fever, abdominal pain, no real gastrointestinal or bowel symptoms.  No headache.  No jaw or upper extremity pain.  No urinary symptoms.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Family / Social History – </w:t>
            </w:r>
            <w:r w:rsidDel="00000000" w:rsidR="00000000" w:rsidRPr="00000000">
              <w:rPr>
                <w:rFonts w:ascii="Times New Roman" w:cs="Times New Roman" w:eastAsia="Times New Roman" w:hAnsi="Times New Roman"/>
                <w:color w:val="000000"/>
                <w:rtl w:val="0"/>
              </w:rPr>
              <w:t xml:space="preserve">Family history of alcoholism</w:t>
            </w:r>
            <w:r w:rsidDel="00000000" w:rsidR="00000000" w:rsidRPr="00000000">
              <w:rPr>
                <w:rFonts w:ascii="Times New Roman" w:cs="Times New Roman" w:eastAsia="Times New Roman" w:hAnsi="Times New Roman"/>
                <w:rtl w:val="0"/>
              </w:rPr>
              <w:t xml:space="preserve">.  Pt. has an approx 20 pack/year history smoker (about a half pack a day for 40 years)</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Past Medical History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color w:val="000000"/>
                <w:rtl w:val="0"/>
              </w:rPr>
              <w:t xml:space="preserve">(must be appropriate based on age of simulated patient) - Hyperlipidemia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high cholesterol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prehypertension, prediabetes</w:t>
            </w:r>
            <w:r w:rsidDel="00000000" w:rsidR="00000000" w:rsidRPr="00000000">
              <w:rPr>
                <w:rFonts w:ascii="Times New Roman" w:cs="Times New Roman" w:eastAsia="Times New Roman" w:hAnsi="Times New Roman"/>
                <w:rtl w:val="0"/>
              </w:rPr>
              <w:t xml:space="preserve"> - “they told me my pressure and sugar was kind of high a while back”. You could include allergies or an intermittent chronic cough (due to smoking)</w:t>
            </w: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Allergies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known drug allergies</w:t>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Medications</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OTC Tylenol, Claritin, Nyquil PM.</w:t>
            </w:r>
            <w:r w:rsidDel="00000000" w:rsidR="00000000" w:rsidRPr="00000000">
              <w:rPr>
                <w:rFonts w:ascii="Times New Roman" w:cs="Times New Roman" w:eastAsia="Times New Roman" w:hAnsi="Times New Roman"/>
                <w:rtl w:val="0"/>
              </w:rPr>
              <w:t xml:space="preserve"> Atorvastatin 20mg PO daily.  </w:t>
            </w: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Vital signs</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42</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 82, 22, 98%, 98.4</w:t>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Primary diagnosis</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Vascular Dementia</w:t>
            </w: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Differential Diagnosis</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Major Depression, Generalized Anxiety Disorder, Alzheimer’s Dementia, anemia, hypothyroidism, COPD, OSA</w:t>
            </w: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Physical exam</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Objective data – </w:t>
            </w:r>
            <w:r w:rsidDel="00000000" w:rsidR="00000000" w:rsidRPr="00000000">
              <w:rPr>
                <w:rFonts w:ascii="Times New Roman" w:cs="Times New Roman" w:eastAsia="Times New Roman" w:hAnsi="Times New Roman"/>
                <w:color w:val="000000"/>
                <w:rtl w:val="0"/>
              </w:rPr>
              <w:t xml:space="preserve">There would likely be little objective evidence, no pain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on exam, </w:t>
            </w:r>
            <w:r w:rsidDel="00000000" w:rsidR="00000000" w:rsidRPr="00000000">
              <w:rPr>
                <w:rFonts w:ascii="Times New Roman" w:cs="Times New Roman" w:eastAsia="Times New Roman" w:hAnsi="Times New Roman"/>
                <w:rtl w:val="0"/>
              </w:rPr>
              <w:t xml:space="preserve">maybe generalized </w:t>
            </w:r>
            <w:r w:rsidDel="00000000" w:rsidR="00000000" w:rsidRPr="00000000">
              <w:rPr>
                <w:rFonts w:ascii="Times New Roman" w:cs="Times New Roman" w:eastAsia="Times New Roman" w:hAnsi="Times New Roman"/>
                <w:color w:val="000000"/>
                <w:rtl w:val="0"/>
              </w:rPr>
              <w:t xml:space="preserve">musculoskeletal weakness, etc.  </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would be appropriate to do respiratory, cardiac exam, check for swelling and pulses in legs, as well as the thyroid gland (also in the neck).  They should listen to the heart and lungs directly on the skin.   </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Plan</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Assessment and Plan - </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Student are expected to complete or order: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in-office cognitive testing, including MOCA, SLUMS, or MMSE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 depression screen such as GDS, PHQ</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advise on smoking cessation and discuss strategies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blood work including lipids, HGB A1C (diabetes), and consider thyroid testing, blood counts and electrolytes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may consider ordering:</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imaging, either CT head or MRI</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to Neurology for further memory evaluation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overnight sleep study or home OSA screen</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should assess the need for preventive services (pneumonia, shingles, influenza, COVID-19 vaccines; DEXA scan; colonoscopy; mammography, PSA screening etc.)</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Follow-up would be based on the severity of symptoms described.</w:t>
            </w:r>
          </w:p>
        </w:tc>
      </w:tr>
      <w:tr>
        <w:trPr>
          <w:cantSplit w:val="0"/>
          <w:tblHeader w:val="0"/>
        </w:trPr>
        <w:tc>
          <w:tcPr>
            <w:gridSpan w:val="2"/>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CONTEXT/SET UP</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Overview</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lder adult SP preferable. (Could adjust this case based on age of patient)</w:t>
            </w:r>
          </w:p>
        </w:tc>
      </w:tr>
      <w:tr>
        <w:trPr>
          <w:cantSplit w:val="0"/>
          <w:tblHeader w:val="0"/>
        </w:trPr>
        <w:tc>
          <w:tcPr/>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Setting/Set up</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Ambulatory exam room 2 chairs. Exam table. </w:t>
            </w:r>
          </w:p>
        </w:tc>
      </w:tr>
      <w:tr>
        <w:trPr>
          <w:cantSplit w:val="0"/>
          <w:tblHeader w:val="0"/>
        </w:trPr>
        <w:tc>
          <w:tcPr/>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Supplies</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Stethoscope</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Otoscope</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Ophthalmoscope</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Reflex hammer</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Blank copy of MOCA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SLUMS, GDS or PH</w:t>
            </w:r>
            <w:r w:rsidDel="00000000" w:rsidR="00000000" w:rsidRPr="00000000">
              <w:rPr>
                <w:rFonts w:ascii="Times New Roman" w:cs="Times New Roman" w:eastAsia="Times New Roman" w:hAnsi="Times New Roman"/>
                <w:rtl w:val="0"/>
              </w:rPr>
              <w:t xml:space="preserve">Q-9</w:t>
            </w:r>
            <w:r w:rsidDel="00000000" w:rsidR="00000000" w:rsidRPr="00000000">
              <w:rPr>
                <w:rFonts w:ascii="Times New Roman" w:cs="Times New Roman" w:eastAsia="Times New Roman" w:hAnsi="Times New Roman"/>
                <w:color w:val="000000"/>
                <w:rtl w:val="0"/>
              </w:rPr>
              <w:t xml:space="preserve"> (SP will hand to student to complete if they verbalize need for any of these), tobacco cessation resources, OSA screening information</w:t>
            </w:r>
          </w:p>
        </w:tc>
      </w:tr>
    </w:tbl>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215C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2D04AF"/>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val="1"/>
    <w:rsid w:val="00097A3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6CzhENoSiH3wvjkdt6wtit/qg==">CgMxLjA4AHIhMVVSWTQ4dGk5b3VvUFZHTlk1blhKUm03YkZYcFB1bktw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2024-11-15T16:01:00Z</dcterms:created>
  <dc:creator>Evelyn Duffy</dc:creator>
</cp:coreProperties>
</file>