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636CB" w14:textId="77777777" w:rsidR="00B32AC7" w:rsidRPr="00B32AC7" w:rsidRDefault="00B32AC7" w:rsidP="00B32AC7">
      <w:r w:rsidRPr="00B32AC7">
        <w:rPr>
          <w:b/>
          <w:bCs/>
        </w:rPr>
        <w:t xml:space="preserve">Pediatric Case Study: </w:t>
      </w:r>
      <w:r w:rsidRPr="00B32AC7">
        <w:t>Turner Syndrome in an Adolescent with Limited Healthcare Access and a Large, Low-Income Family </w:t>
      </w:r>
    </w:p>
    <w:p w14:paraId="49FBD19B" w14:textId="77777777" w:rsidR="00B32AC7" w:rsidRDefault="00B32AC7" w:rsidP="00B32AC7">
      <w:pPr>
        <w:rPr>
          <w:b/>
          <w:bCs/>
        </w:rPr>
      </w:pPr>
    </w:p>
    <w:p w14:paraId="4220E5AF" w14:textId="1D89C94A" w:rsidR="00B32AC7" w:rsidRPr="00B32AC7" w:rsidRDefault="00B32AC7" w:rsidP="00B32AC7">
      <w:r w:rsidRPr="00B32AC7">
        <w:rPr>
          <w:b/>
          <w:bCs/>
        </w:rPr>
        <w:t>Patient Information:</w:t>
      </w:r>
      <w:r w:rsidRPr="00B32AC7">
        <w:t> </w:t>
      </w:r>
    </w:p>
    <w:p w14:paraId="03183F8C" w14:textId="77777777" w:rsidR="00B32AC7" w:rsidRPr="00B32AC7" w:rsidRDefault="00B32AC7" w:rsidP="00B32AC7">
      <w:pPr>
        <w:numPr>
          <w:ilvl w:val="0"/>
          <w:numId w:val="1"/>
        </w:numPr>
      </w:pPr>
      <w:r w:rsidRPr="00B32AC7">
        <w:rPr>
          <w:b/>
          <w:bCs/>
        </w:rPr>
        <w:t>Name:</w:t>
      </w:r>
      <w:r w:rsidRPr="00B32AC7">
        <w:rPr>
          <w:rFonts w:ascii="Arial" w:hAnsi="Arial" w:cs="Arial"/>
        </w:rPr>
        <w:t> </w:t>
      </w:r>
      <w:r w:rsidRPr="00B32AC7">
        <w:t>Lily Turner </w:t>
      </w:r>
    </w:p>
    <w:p w14:paraId="544A9096" w14:textId="77777777" w:rsidR="00B32AC7" w:rsidRPr="00B32AC7" w:rsidRDefault="00B32AC7" w:rsidP="00B32AC7">
      <w:pPr>
        <w:numPr>
          <w:ilvl w:val="0"/>
          <w:numId w:val="2"/>
        </w:numPr>
      </w:pPr>
      <w:r w:rsidRPr="00B32AC7">
        <w:rPr>
          <w:b/>
          <w:bCs/>
        </w:rPr>
        <w:t>Age:</w:t>
      </w:r>
      <w:r w:rsidRPr="00B32AC7">
        <w:rPr>
          <w:rFonts w:ascii="Arial" w:hAnsi="Arial" w:cs="Arial"/>
        </w:rPr>
        <w:t> </w:t>
      </w:r>
      <w:r w:rsidRPr="00B32AC7">
        <w:t>16 years </w:t>
      </w:r>
    </w:p>
    <w:p w14:paraId="4B99A336" w14:textId="77777777" w:rsidR="00B32AC7" w:rsidRPr="00B32AC7" w:rsidRDefault="00B32AC7" w:rsidP="00B32AC7">
      <w:pPr>
        <w:numPr>
          <w:ilvl w:val="0"/>
          <w:numId w:val="3"/>
        </w:numPr>
      </w:pPr>
      <w:r w:rsidRPr="00B32AC7">
        <w:rPr>
          <w:b/>
          <w:bCs/>
        </w:rPr>
        <w:t>Gender:</w:t>
      </w:r>
      <w:r w:rsidRPr="00B32AC7">
        <w:rPr>
          <w:rFonts w:ascii="Arial" w:hAnsi="Arial" w:cs="Arial"/>
        </w:rPr>
        <w:t> </w:t>
      </w:r>
      <w:r w:rsidRPr="00B32AC7">
        <w:t>Female </w:t>
      </w:r>
    </w:p>
    <w:p w14:paraId="3D3E63DC" w14:textId="77777777" w:rsidR="00B32AC7" w:rsidRDefault="00B32AC7" w:rsidP="00B32AC7">
      <w:pPr>
        <w:rPr>
          <w:b/>
          <w:bCs/>
        </w:rPr>
      </w:pPr>
    </w:p>
    <w:p w14:paraId="60171B7E" w14:textId="59F59412" w:rsidR="00B32AC7" w:rsidRPr="00B32AC7" w:rsidRDefault="00B32AC7" w:rsidP="00B32AC7">
      <w:r w:rsidRPr="00B32AC7">
        <w:rPr>
          <w:b/>
          <w:bCs/>
        </w:rPr>
        <w:t>Presenting Complaint:</w:t>
      </w:r>
      <w:r w:rsidRPr="00B32AC7">
        <w:rPr>
          <w:rFonts w:ascii="Arial" w:hAnsi="Arial" w:cs="Arial"/>
        </w:rPr>
        <w:t> </w:t>
      </w:r>
      <w:r w:rsidRPr="00B32AC7">
        <w:t>Lily's parents bring her to the pediatric unit concerned about short stature, delayed development, and the absence of menstrual cycles. The family recently moved from a rural area, has limited healthcare literacy, and Lily has not been to the healthcare provider since she was one year old.  </w:t>
      </w:r>
    </w:p>
    <w:p w14:paraId="1BCE71EF" w14:textId="77777777" w:rsidR="00B32AC7" w:rsidRDefault="00B32AC7" w:rsidP="00B32AC7">
      <w:pPr>
        <w:rPr>
          <w:b/>
          <w:bCs/>
        </w:rPr>
      </w:pPr>
    </w:p>
    <w:p w14:paraId="7186988C" w14:textId="08B4D14F" w:rsidR="00B32AC7" w:rsidRPr="00B32AC7" w:rsidRDefault="00B32AC7" w:rsidP="00B32AC7">
      <w:r w:rsidRPr="00B32AC7">
        <w:rPr>
          <w:b/>
          <w:bCs/>
        </w:rPr>
        <w:t>Background:</w:t>
      </w:r>
      <w:r w:rsidRPr="00B32AC7">
        <w:rPr>
          <w:rFonts w:ascii="Arial" w:hAnsi="Arial" w:cs="Arial"/>
        </w:rPr>
        <w:t> </w:t>
      </w:r>
      <w:r w:rsidRPr="00B32AC7">
        <w:t>Lily is a 16-year-old female with a history of short stature and delayed puberty. There is no family history of similar concerns. Having recently moved from a rural area, Lily's family may have limited access to healthcare information, and she has yet to receive medical attention since she was one year old. She is also behind on immunizations, and she is one of eight children in a low-income family,</w:t>
      </w:r>
      <w:r w:rsidRPr="00B32AC7">
        <w:rPr>
          <w:rFonts w:ascii="Arial" w:hAnsi="Arial" w:cs="Arial"/>
        </w:rPr>
        <w:t> </w:t>
      </w:r>
      <w:r w:rsidRPr="00B32AC7">
        <w:t>and she has been homeschooled. </w:t>
      </w:r>
    </w:p>
    <w:p w14:paraId="625C444B" w14:textId="77777777" w:rsidR="00B32AC7" w:rsidRDefault="00B32AC7" w:rsidP="00B32AC7">
      <w:pPr>
        <w:rPr>
          <w:b/>
          <w:bCs/>
        </w:rPr>
      </w:pPr>
    </w:p>
    <w:p w14:paraId="539722A7" w14:textId="594FB840" w:rsidR="00B32AC7" w:rsidRDefault="00B32AC7" w:rsidP="00B32AC7">
      <w:r w:rsidRPr="00B32AC7">
        <w:rPr>
          <w:b/>
          <w:bCs/>
        </w:rPr>
        <w:t>Initial Assessment:</w:t>
      </w:r>
      <w:r w:rsidRPr="00B32AC7">
        <w:t> </w:t>
      </w:r>
    </w:p>
    <w:p w14:paraId="751F8CDC" w14:textId="77777777" w:rsidR="00B32AC7" w:rsidRPr="00B32AC7" w:rsidRDefault="00B32AC7" w:rsidP="00B32AC7"/>
    <w:p w14:paraId="68193ACE" w14:textId="77777777" w:rsidR="00B32AC7" w:rsidRPr="00B32AC7" w:rsidRDefault="00B32AC7" w:rsidP="00B32AC7">
      <w:pPr>
        <w:numPr>
          <w:ilvl w:val="0"/>
          <w:numId w:val="4"/>
        </w:numPr>
      </w:pPr>
      <w:r w:rsidRPr="00B32AC7">
        <w:rPr>
          <w:b/>
          <w:bCs/>
        </w:rPr>
        <w:t>Vital Signs:</w:t>
      </w:r>
      <w:r w:rsidRPr="00B32AC7">
        <w:rPr>
          <w:rFonts w:ascii="Arial" w:hAnsi="Arial" w:cs="Arial"/>
        </w:rPr>
        <w:t> </w:t>
      </w:r>
      <w:r w:rsidRPr="00B32AC7">
        <w:t>Within normal range. </w:t>
      </w:r>
    </w:p>
    <w:p w14:paraId="2AF1DE62" w14:textId="77777777" w:rsidR="00B32AC7" w:rsidRPr="00B32AC7" w:rsidRDefault="00B32AC7" w:rsidP="00B32AC7">
      <w:pPr>
        <w:numPr>
          <w:ilvl w:val="0"/>
          <w:numId w:val="5"/>
        </w:numPr>
      </w:pPr>
      <w:r w:rsidRPr="00B32AC7">
        <w:rPr>
          <w:b/>
          <w:bCs/>
        </w:rPr>
        <w:t>Physical Examination:</w:t>
      </w:r>
      <w:r w:rsidRPr="00B32AC7">
        <w:rPr>
          <w:rFonts w:ascii="Arial" w:hAnsi="Arial" w:cs="Arial"/>
        </w:rPr>
        <w:t> </w:t>
      </w:r>
      <w:r w:rsidRPr="00B32AC7">
        <w:t>Short stature, webbed neck, and a shield-shaped chest. </w:t>
      </w:r>
    </w:p>
    <w:p w14:paraId="1BED1E82" w14:textId="77777777" w:rsidR="00B32AC7" w:rsidRPr="00B32AC7" w:rsidRDefault="00B32AC7" w:rsidP="00B32AC7">
      <w:pPr>
        <w:numPr>
          <w:ilvl w:val="0"/>
          <w:numId w:val="6"/>
        </w:numPr>
      </w:pPr>
      <w:r w:rsidRPr="00B32AC7">
        <w:rPr>
          <w:b/>
          <w:bCs/>
        </w:rPr>
        <w:t>Developmental Assessment:</w:t>
      </w:r>
      <w:r w:rsidRPr="00B32AC7">
        <w:rPr>
          <w:rFonts w:ascii="Arial" w:hAnsi="Arial" w:cs="Arial"/>
        </w:rPr>
        <w:t> </w:t>
      </w:r>
      <w:r w:rsidRPr="00B32AC7">
        <w:t>Absence of breast development, menstruation, and delayed onset of puberty. </w:t>
      </w:r>
    </w:p>
    <w:p w14:paraId="72B830F3" w14:textId="77777777" w:rsidR="00B32AC7" w:rsidRPr="00B32AC7" w:rsidRDefault="00B32AC7" w:rsidP="00B32AC7">
      <w:pPr>
        <w:numPr>
          <w:ilvl w:val="0"/>
          <w:numId w:val="7"/>
        </w:numPr>
      </w:pPr>
      <w:r w:rsidRPr="00B32AC7">
        <w:rPr>
          <w:b/>
          <w:bCs/>
        </w:rPr>
        <w:t>Health History:</w:t>
      </w:r>
      <w:r w:rsidRPr="00B32AC7">
        <w:rPr>
          <w:rFonts w:ascii="Arial" w:hAnsi="Arial" w:cs="Arial"/>
        </w:rPr>
        <w:t> </w:t>
      </w:r>
      <w:r w:rsidRPr="00B32AC7">
        <w:t>Lily has not been to the healthcare provider since she was one year old and needs to catch up on immunizations. She is one of eight children in a low-income family. </w:t>
      </w:r>
    </w:p>
    <w:p w14:paraId="03A7D980" w14:textId="77777777" w:rsidR="00B32AC7" w:rsidRDefault="00B32AC7" w:rsidP="00B32AC7">
      <w:pPr>
        <w:rPr>
          <w:b/>
          <w:bCs/>
        </w:rPr>
      </w:pPr>
    </w:p>
    <w:p w14:paraId="1F3ABE4F" w14:textId="64574967" w:rsidR="00B32AC7" w:rsidRDefault="00B32AC7" w:rsidP="00B32AC7">
      <w:r w:rsidRPr="00B32AC7">
        <w:rPr>
          <w:b/>
          <w:bCs/>
        </w:rPr>
        <w:t>Diagnostic Criteria:</w:t>
      </w:r>
      <w:r w:rsidRPr="00B32AC7">
        <w:t> </w:t>
      </w:r>
    </w:p>
    <w:p w14:paraId="57AFD9E0" w14:textId="77777777" w:rsidR="00B32AC7" w:rsidRPr="00B32AC7" w:rsidRDefault="00B32AC7" w:rsidP="00B32AC7"/>
    <w:p w14:paraId="2BA3A30F" w14:textId="77777777" w:rsidR="00B32AC7" w:rsidRPr="00B32AC7" w:rsidRDefault="00B32AC7" w:rsidP="00B32AC7">
      <w:pPr>
        <w:numPr>
          <w:ilvl w:val="0"/>
          <w:numId w:val="8"/>
        </w:numPr>
      </w:pPr>
      <w:r w:rsidRPr="00B32AC7">
        <w:t>Lily undergoes genetic testing, revealing the absence of one complete X chromosome, confirming the diagnosis of Turner Syndrome. </w:t>
      </w:r>
    </w:p>
    <w:p w14:paraId="378AD698" w14:textId="77777777" w:rsidR="00B32AC7" w:rsidRDefault="00B32AC7" w:rsidP="00B32AC7">
      <w:pPr>
        <w:rPr>
          <w:b/>
          <w:bCs/>
        </w:rPr>
      </w:pPr>
    </w:p>
    <w:p w14:paraId="3FB33F6E" w14:textId="06E919AE" w:rsidR="00B32AC7" w:rsidRDefault="00B32AC7" w:rsidP="00B32AC7">
      <w:r w:rsidRPr="00B32AC7">
        <w:rPr>
          <w:b/>
          <w:bCs/>
        </w:rPr>
        <w:t>Complications and Considerations:</w:t>
      </w:r>
      <w:r w:rsidRPr="00B32AC7">
        <w:t> </w:t>
      </w:r>
    </w:p>
    <w:p w14:paraId="4285B0D4" w14:textId="77777777" w:rsidR="00B32AC7" w:rsidRPr="00B32AC7" w:rsidRDefault="00B32AC7" w:rsidP="00B32AC7"/>
    <w:p w14:paraId="5A9535A7" w14:textId="77777777" w:rsidR="00B32AC7" w:rsidRPr="00B32AC7" w:rsidRDefault="00B32AC7" w:rsidP="00B32AC7">
      <w:pPr>
        <w:numPr>
          <w:ilvl w:val="0"/>
          <w:numId w:val="9"/>
        </w:numPr>
      </w:pPr>
      <w:r w:rsidRPr="00B32AC7">
        <w:t>Turner Syndrome is associated with short stature, delayed puberty, potential heart and kidney abnormalities, and infertility. Lily may require growth hormone therapy, estrogen replacement therapy, and ongoing monitoring for associated health concerns. The lack of medical attention since early childhood adds complexity to her healthcare needs. </w:t>
      </w:r>
    </w:p>
    <w:p w14:paraId="77BFDA67" w14:textId="77777777" w:rsidR="00B32AC7" w:rsidRDefault="00B32AC7" w:rsidP="00B32AC7">
      <w:pPr>
        <w:rPr>
          <w:b/>
          <w:bCs/>
        </w:rPr>
      </w:pPr>
    </w:p>
    <w:p w14:paraId="29382794" w14:textId="0FF9A872" w:rsidR="00B32AC7" w:rsidRDefault="00B32AC7" w:rsidP="00B32AC7">
      <w:r w:rsidRPr="00B32AC7">
        <w:rPr>
          <w:b/>
          <w:bCs/>
        </w:rPr>
        <w:t>Treatment Plan:</w:t>
      </w:r>
      <w:r w:rsidRPr="00B32AC7">
        <w:t> </w:t>
      </w:r>
    </w:p>
    <w:p w14:paraId="7BB26C13" w14:textId="77777777" w:rsidR="00B32AC7" w:rsidRPr="00B32AC7" w:rsidRDefault="00B32AC7" w:rsidP="00B32AC7"/>
    <w:p w14:paraId="6A531F6C" w14:textId="77777777" w:rsidR="00B32AC7" w:rsidRPr="00B32AC7" w:rsidRDefault="00B32AC7" w:rsidP="00B32AC7">
      <w:pPr>
        <w:numPr>
          <w:ilvl w:val="0"/>
          <w:numId w:val="10"/>
        </w:numPr>
      </w:pPr>
      <w:r w:rsidRPr="00B32AC7">
        <w:rPr>
          <w:b/>
          <w:bCs/>
        </w:rPr>
        <w:t>Growth Hormone Therapy:</w:t>
      </w:r>
      <w:r w:rsidRPr="00B32AC7">
        <w:rPr>
          <w:rFonts w:ascii="Arial" w:hAnsi="Arial" w:cs="Arial"/>
        </w:rPr>
        <w:t> </w:t>
      </w:r>
      <w:r w:rsidRPr="00B32AC7">
        <w:t>Prescribed to stimulate growth and improve final adult height. </w:t>
      </w:r>
    </w:p>
    <w:p w14:paraId="11E95717" w14:textId="77777777" w:rsidR="00B32AC7" w:rsidRPr="00B32AC7" w:rsidRDefault="00B32AC7" w:rsidP="00B32AC7">
      <w:pPr>
        <w:numPr>
          <w:ilvl w:val="0"/>
          <w:numId w:val="11"/>
        </w:numPr>
      </w:pPr>
      <w:r w:rsidRPr="00B32AC7">
        <w:rPr>
          <w:b/>
          <w:bCs/>
        </w:rPr>
        <w:t>Estrogen Replacement Therapy (ERT):</w:t>
      </w:r>
      <w:r w:rsidRPr="00B32AC7">
        <w:rPr>
          <w:rFonts w:ascii="Arial" w:hAnsi="Arial" w:cs="Arial"/>
        </w:rPr>
        <w:t> </w:t>
      </w:r>
      <w:r w:rsidRPr="00B32AC7">
        <w:t>Administered to induce puberty and address hormonal imbalances. </w:t>
      </w:r>
    </w:p>
    <w:p w14:paraId="3FBED390" w14:textId="77777777" w:rsidR="00B32AC7" w:rsidRPr="00B32AC7" w:rsidRDefault="00B32AC7" w:rsidP="00B32AC7">
      <w:pPr>
        <w:numPr>
          <w:ilvl w:val="0"/>
          <w:numId w:val="12"/>
        </w:numPr>
      </w:pPr>
      <w:r w:rsidRPr="00B32AC7">
        <w:rPr>
          <w:b/>
          <w:bCs/>
        </w:rPr>
        <w:t>Fertility Counseling:</w:t>
      </w:r>
      <w:r w:rsidRPr="00B32AC7">
        <w:rPr>
          <w:rFonts w:ascii="Arial" w:hAnsi="Arial" w:cs="Arial"/>
        </w:rPr>
        <w:t> </w:t>
      </w:r>
      <w:r w:rsidRPr="00B32AC7">
        <w:t>Discuss the potential impact of Turner Syndrome on fertility and provide information about fertility preservation options using accessible and understandable language. </w:t>
      </w:r>
    </w:p>
    <w:p w14:paraId="16C71CB9" w14:textId="77777777" w:rsidR="00B32AC7" w:rsidRPr="00B32AC7" w:rsidRDefault="00B32AC7" w:rsidP="00B32AC7">
      <w:pPr>
        <w:numPr>
          <w:ilvl w:val="0"/>
          <w:numId w:val="13"/>
        </w:numPr>
      </w:pPr>
      <w:r w:rsidRPr="00B32AC7">
        <w:rPr>
          <w:b/>
          <w:bCs/>
        </w:rPr>
        <w:lastRenderedPageBreak/>
        <w:t>Catch-Up Immunizations:</w:t>
      </w:r>
      <w:r w:rsidRPr="00B32AC7">
        <w:rPr>
          <w:rFonts w:ascii="Arial" w:hAnsi="Arial" w:cs="Arial"/>
        </w:rPr>
        <w:t> </w:t>
      </w:r>
      <w:r w:rsidRPr="00B32AC7">
        <w:t>Administer overdue vaccinations to ensure Lily is up to date on her immunizations. </w:t>
      </w:r>
    </w:p>
    <w:p w14:paraId="6FA59DC6" w14:textId="77777777" w:rsidR="00B32AC7" w:rsidRPr="00B32AC7" w:rsidRDefault="00B32AC7" w:rsidP="00B32AC7">
      <w:pPr>
        <w:numPr>
          <w:ilvl w:val="0"/>
          <w:numId w:val="14"/>
        </w:numPr>
      </w:pPr>
      <w:r w:rsidRPr="00B32AC7">
        <w:rPr>
          <w:b/>
          <w:bCs/>
        </w:rPr>
        <w:t>Cardiac and Renal Monitoring:</w:t>
      </w:r>
      <w:r w:rsidRPr="00B32AC7">
        <w:rPr>
          <w:rFonts w:ascii="Arial" w:hAnsi="Arial" w:cs="Arial"/>
        </w:rPr>
        <w:t> </w:t>
      </w:r>
      <w:r w:rsidRPr="00B32AC7">
        <w:t>Regular assessments to detect and manage potential cardiac and renal abnormalities. </w:t>
      </w:r>
    </w:p>
    <w:p w14:paraId="3FA2BA74" w14:textId="77777777" w:rsidR="00B32AC7" w:rsidRPr="00B32AC7" w:rsidRDefault="00B32AC7" w:rsidP="00B32AC7">
      <w:pPr>
        <w:numPr>
          <w:ilvl w:val="0"/>
          <w:numId w:val="15"/>
        </w:numPr>
      </w:pPr>
      <w:r w:rsidRPr="00B32AC7">
        <w:rPr>
          <w:b/>
          <w:bCs/>
        </w:rPr>
        <w:t>Psychosocial Support:</w:t>
      </w:r>
      <w:r w:rsidRPr="00B32AC7">
        <w:rPr>
          <w:rFonts w:ascii="Arial" w:hAnsi="Arial" w:cs="Arial"/>
        </w:rPr>
        <w:t> </w:t>
      </w:r>
      <w:r w:rsidRPr="00B32AC7">
        <w:t>Counseling and support for Lily and her parents, considering their limited healthcare access, socio-economic challenges, and the need for comprehensive care. </w:t>
      </w:r>
    </w:p>
    <w:p w14:paraId="4300C7B1" w14:textId="77777777" w:rsidR="00B32AC7" w:rsidRDefault="00B32AC7" w:rsidP="00B32AC7">
      <w:pPr>
        <w:rPr>
          <w:b/>
          <w:bCs/>
        </w:rPr>
      </w:pPr>
    </w:p>
    <w:p w14:paraId="60D7C1FD" w14:textId="6F2D96D8" w:rsidR="00B32AC7" w:rsidRDefault="00B32AC7" w:rsidP="00B32AC7">
      <w:r w:rsidRPr="00B32AC7">
        <w:rPr>
          <w:b/>
          <w:bCs/>
        </w:rPr>
        <w:t>Examples of Role Assignments for Group Presentation:</w:t>
      </w:r>
      <w:r w:rsidRPr="00B32AC7">
        <w:t> </w:t>
      </w:r>
    </w:p>
    <w:p w14:paraId="0E3DAD4A" w14:textId="77777777" w:rsidR="00B32AC7" w:rsidRPr="00B32AC7" w:rsidRDefault="00B32AC7" w:rsidP="00B32AC7"/>
    <w:p w14:paraId="5039FC8C" w14:textId="77777777" w:rsidR="00B32AC7" w:rsidRPr="00B32AC7" w:rsidRDefault="00B32AC7" w:rsidP="00B32AC7">
      <w:pPr>
        <w:numPr>
          <w:ilvl w:val="0"/>
          <w:numId w:val="16"/>
        </w:numPr>
      </w:pPr>
      <w:r w:rsidRPr="00B32AC7">
        <w:rPr>
          <w:b/>
          <w:bCs/>
        </w:rPr>
        <w:t>Genetic Counselor:</w:t>
      </w:r>
      <w:r w:rsidRPr="00B32AC7">
        <w:rPr>
          <w:rFonts w:ascii="Arial" w:hAnsi="Arial" w:cs="Arial"/>
        </w:rPr>
        <w:t> </w:t>
      </w:r>
      <w:r w:rsidRPr="00B32AC7">
        <w:t>Discuss the genetic basis of Turner Syndrome, recurrence risk, and family planning using simple and accessible language. </w:t>
      </w:r>
    </w:p>
    <w:p w14:paraId="5B9A6771" w14:textId="77777777" w:rsidR="00B32AC7" w:rsidRPr="00B32AC7" w:rsidRDefault="00B32AC7" w:rsidP="00B32AC7">
      <w:pPr>
        <w:numPr>
          <w:ilvl w:val="0"/>
          <w:numId w:val="17"/>
        </w:numPr>
      </w:pPr>
      <w:r w:rsidRPr="00B32AC7">
        <w:rPr>
          <w:b/>
          <w:bCs/>
        </w:rPr>
        <w:t>Pediatric Endocrinologist:</w:t>
      </w:r>
      <w:r w:rsidRPr="00B32AC7">
        <w:rPr>
          <w:rFonts w:ascii="Arial" w:hAnsi="Arial" w:cs="Arial"/>
        </w:rPr>
        <w:t> </w:t>
      </w:r>
      <w:r w:rsidRPr="00B32AC7">
        <w:t>Present the role of growth hormone therapy and estrogen replacement therapy, ensuring information is communicated clearly and understandably. </w:t>
      </w:r>
    </w:p>
    <w:p w14:paraId="4D7F390F" w14:textId="77777777" w:rsidR="00B32AC7" w:rsidRPr="00B32AC7" w:rsidRDefault="00B32AC7" w:rsidP="00B32AC7">
      <w:pPr>
        <w:numPr>
          <w:ilvl w:val="0"/>
          <w:numId w:val="18"/>
        </w:numPr>
      </w:pPr>
      <w:r w:rsidRPr="00B32AC7">
        <w:rPr>
          <w:b/>
          <w:bCs/>
        </w:rPr>
        <w:t>Reproductive Endocrinologist/Fertility Specialist:</w:t>
      </w:r>
      <w:r w:rsidRPr="00B32AC7">
        <w:rPr>
          <w:rFonts w:ascii="Arial" w:hAnsi="Arial" w:cs="Arial"/>
        </w:rPr>
        <w:t> </w:t>
      </w:r>
      <w:r w:rsidRPr="00B32AC7">
        <w:t>Provide information on the potential impact of Turner Syndrome on fertility and discuss fertility preservation options using plain language. </w:t>
      </w:r>
    </w:p>
    <w:p w14:paraId="24BCDA94" w14:textId="77777777" w:rsidR="00B32AC7" w:rsidRPr="00B32AC7" w:rsidRDefault="00B32AC7" w:rsidP="00B32AC7">
      <w:pPr>
        <w:numPr>
          <w:ilvl w:val="0"/>
          <w:numId w:val="19"/>
        </w:numPr>
      </w:pPr>
      <w:r w:rsidRPr="00B32AC7">
        <w:rPr>
          <w:b/>
          <w:bCs/>
        </w:rPr>
        <w:t>Immunization Nurse:</w:t>
      </w:r>
      <w:r w:rsidRPr="00B32AC7">
        <w:rPr>
          <w:rFonts w:ascii="Arial" w:hAnsi="Arial" w:cs="Arial"/>
        </w:rPr>
        <w:t> </w:t>
      </w:r>
      <w:r w:rsidRPr="00B32AC7">
        <w:t>Administer catch-up immunizations and discuss the importance of maintaining an up-to-date immunization schedule. </w:t>
      </w:r>
    </w:p>
    <w:p w14:paraId="7C1A2958" w14:textId="77777777" w:rsidR="00B32AC7" w:rsidRPr="00B32AC7" w:rsidRDefault="00B32AC7" w:rsidP="00B32AC7">
      <w:pPr>
        <w:numPr>
          <w:ilvl w:val="0"/>
          <w:numId w:val="20"/>
        </w:numPr>
      </w:pPr>
      <w:r w:rsidRPr="00B32AC7">
        <w:rPr>
          <w:b/>
          <w:bCs/>
        </w:rPr>
        <w:t>Cardiologist/Nephrologist:</w:t>
      </w:r>
      <w:r w:rsidRPr="00B32AC7">
        <w:rPr>
          <w:rFonts w:ascii="Arial" w:hAnsi="Arial" w:cs="Arial"/>
        </w:rPr>
        <w:t> </w:t>
      </w:r>
      <w:r w:rsidRPr="00B32AC7">
        <w:t>Discuss the potential cardiac and renal complications associated with Turner Syndrome in an accessible way, considering the family's limited healthcare access. </w:t>
      </w:r>
    </w:p>
    <w:p w14:paraId="12B0FD0C" w14:textId="77777777" w:rsidR="00B32AC7" w:rsidRPr="00B32AC7" w:rsidRDefault="00B32AC7" w:rsidP="00B32AC7">
      <w:pPr>
        <w:numPr>
          <w:ilvl w:val="0"/>
          <w:numId w:val="21"/>
        </w:numPr>
      </w:pPr>
      <w:r w:rsidRPr="00B32AC7">
        <w:rPr>
          <w:b/>
          <w:bCs/>
        </w:rPr>
        <w:t>Pediatric Nurse:</w:t>
      </w:r>
      <w:r w:rsidRPr="00B32AC7">
        <w:rPr>
          <w:rFonts w:ascii="Arial" w:hAnsi="Arial" w:cs="Arial"/>
        </w:rPr>
        <w:t> </w:t>
      </w:r>
      <w:r w:rsidRPr="00B32AC7">
        <w:t>Provide information on the general medical care required for adolescents with Turner Syndrome using easy-to-understand materials and support for therapy administration. </w:t>
      </w:r>
    </w:p>
    <w:p w14:paraId="2AE87460" w14:textId="77777777" w:rsidR="00B32AC7" w:rsidRPr="00B32AC7" w:rsidRDefault="00B32AC7" w:rsidP="00B32AC7">
      <w:pPr>
        <w:numPr>
          <w:ilvl w:val="0"/>
          <w:numId w:val="22"/>
        </w:numPr>
      </w:pPr>
      <w:r w:rsidRPr="00B32AC7">
        <w:rPr>
          <w:b/>
          <w:bCs/>
        </w:rPr>
        <w:t>Social Worker:</w:t>
      </w:r>
      <w:r w:rsidRPr="00B32AC7">
        <w:rPr>
          <w:rFonts w:ascii="Arial" w:hAnsi="Arial" w:cs="Arial"/>
        </w:rPr>
        <w:t> </w:t>
      </w:r>
      <w:r w:rsidRPr="00B32AC7">
        <w:t>Offer guidance on available socio-economic support, including healthcare assistance programs, and provide resources to help the family navigate financial challenges. </w:t>
      </w:r>
    </w:p>
    <w:p w14:paraId="32C55780" w14:textId="77777777" w:rsidR="00B32AC7" w:rsidRPr="00B32AC7" w:rsidRDefault="00B32AC7" w:rsidP="00B32AC7">
      <w:pPr>
        <w:numPr>
          <w:ilvl w:val="0"/>
          <w:numId w:val="23"/>
        </w:numPr>
      </w:pPr>
      <w:r w:rsidRPr="00B32AC7">
        <w:rPr>
          <w:b/>
          <w:bCs/>
        </w:rPr>
        <w:t>Psychosocial Specialist:</w:t>
      </w:r>
      <w:r w:rsidRPr="00B32AC7">
        <w:rPr>
          <w:rFonts w:ascii="Arial" w:hAnsi="Arial" w:cs="Arial"/>
        </w:rPr>
        <w:t> </w:t>
      </w:r>
      <w:r w:rsidRPr="00B32AC7">
        <w:t>Address the psychosocial aspects of living with Turner Syndrome and socio-economic challenges, offering support and counseling tailored to the family's needs. </w:t>
      </w:r>
    </w:p>
    <w:p w14:paraId="58907C16" w14:textId="77777777" w:rsidR="00B32AC7" w:rsidRDefault="00B32AC7" w:rsidP="00B32AC7">
      <w:pPr>
        <w:rPr>
          <w:b/>
          <w:bCs/>
        </w:rPr>
      </w:pPr>
    </w:p>
    <w:p w14:paraId="57BA8E0F" w14:textId="122CB7B6" w:rsidR="00B32AC7" w:rsidRPr="00B32AC7" w:rsidRDefault="00B32AC7" w:rsidP="00B32AC7">
      <w:r w:rsidRPr="00B32AC7">
        <w:rPr>
          <w:b/>
          <w:bCs/>
        </w:rPr>
        <w:t>Family Education:</w:t>
      </w:r>
      <w:r w:rsidRPr="00B32AC7">
        <w:rPr>
          <w:rFonts w:ascii="Arial" w:hAnsi="Arial" w:cs="Arial"/>
        </w:rPr>
        <w:t> </w:t>
      </w:r>
      <w:r w:rsidRPr="00B32AC7">
        <w:t>Provide Lily and Lily's parents with comprehensive information about Turner Syndrome, the importance of catch-up immunizations, available interventions, and socio-economic support resources. Use visual aids, verbal explanations, and accessible written materials to educate them about the condition, treatment options, and potential challenges. Emphasize the significance of maintaining regular healthcare visits for Lily's overall well-being and encourage ongoing communication with healthcare professionals for continued support. Collaborate with the family to create a tailored care plan considering their unique circumstances. </w:t>
      </w:r>
    </w:p>
    <w:p w14:paraId="30374172" w14:textId="77777777" w:rsidR="00951F2D" w:rsidRDefault="00951F2D"/>
    <w:sectPr w:rsidR="0095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7559"/>
    <w:multiLevelType w:val="multilevel"/>
    <w:tmpl w:val="4098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21943"/>
    <w:multiLevelType w:val="multilevel"/>
    <w:tmpl w:val="A940A2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95B06"/>
    <w:multiLevelType w:val="multilevel"/>
    <w:tmpl w:val="5EC2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33E89"/>
    <w:multiLevelType w:val="multilevel"/>
    <w:tmpl w:val="B3321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F303A"/>
    <w:multiLevelType w:val="multilevel"/>
    <w:tmpl w:val="DF926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96F99"/>
    <w:multiLevelType w:val="multilevel"/>
    <w:tmpl w:val="FD7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B48FF"/>
    <w:multiLevelType w:val="multilevel"/>
    <w:tmpl w:val="6062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CE2F26"/>
    <w:multiLevelType w:val="multilevel"/>
    <w:tmpl w:val="1890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A70560"/>
    <w:multiLevelType w:val="multilevel"/>
    <w:tmpl w:val="B626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84454"/>
    <w:multiLevelType w:val="multilevel"/>
    <w:tmpl w:val="365C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B18AB"/>
    <w:multiLevelType w:val="multilevel"/>
    <w:tmpl w:val="4144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1A7949"/>
    <w:multiLevelType w:val="multilevel"/>
    <w:tmpl w:val="6D82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0D44A7"/>
    <w:multiLevelType w:val="multilevel"/>
    <w:tmpl w:val="0224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72551A"/>
    <w:multiLevelType w:val="multilevel"/>
    <w:tmpl w:val="415E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F347E8"/>
    <w:multiLevelType w:val="multilevel"/>
    <w:tmpl w:val="8FA41B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1734C"/>
    <w:multiLevelType w:val="multilevel"/>
    <w:tmpl w:val="D52A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62F4E"/>
    <w:multiLevelType w:val="multilevel"/>
    <w:tmpl w:val="1B5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7B7733"/>
    <w:multiLevelType w:val="multilevel"/>
    <w:tmpl w:val="682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DB5C95"/>
    <w:multiLevelType w:val="multilevel"/>
    <w:tmpl w:val="0F2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F06FED"/>
    <w:multiLevelType w:val="multilevel"/>
    <w:tmpl w:val="7010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366FE4"/>
    <w:multiLevelType w:val="multilevel"/>
    <w:tmpl w:val="799A8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691558"/>
    <w:multiLevelType w:val="multilevel"/>
    <w:tmpl w:val="FAF66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CE747F"/>
    <w:multiLevelType w:val="multilevel"/>
    <w:tmpl w:val="F46C55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475093">
    <w:abstractNumId w:val="2"/>
  </w:num>
  <w:num w:numId="2" w16cid:durableId="639966348">
    <w:abstractNumId w:val="17"/>
  </w:num>
  <w:num w:numId="3" w16cid:durableId="1087844043">
    <w:abstractNumId w:val="10"/>
  </w:num>
  <w:num w:numId="4" w16cid:durableId="584194373">
    <w:abstractNumId w:val="5"/>
  </w:num>
  <w:num w:numId="5" w16cid:durableId="139347841">
    <w:abstractNumId w:val="0"/>
  </w:num>
  <w:num w:numId="6" w16cid:durableId="1222600685">
    <w:abstractNumId w:val="6"/>
  </w:num>
  <w:num w:numId="7" w16cid:durableId="1157647592">
    <w:abstractNumId w:val="12"/>
  </w:num>
  <w:num w:numId="8" w16cid:durableId="516507535">
    <w:abstractNumId w:val="11"/>
  </w:num>
  <w:num w:numId="9" w16cid:durableId="190192591">
    <w:abstractNumId w:val="18"/>
  </w:num>
  <w:num w:numId="10" w16cid:durableId="960571492">
    <w:abstractNumId w:val="16"/>
  </w:num>
  <w:num w:numId="11" w16cid:durableId="213467674">
    <w:abstractNumId w:val="8"/>
  </w:num>
  <w:num w:numId="12" w16cid:durableId="1283682274">
    <w:abstractNumId w:val="9"/>
  </w:num>
  <w:num w:numId="13" w16cid:durableId="1659647967">
    <w:abstractNumId w:val="19"/>
  </w:num>
  <w:num w:numId="14" w16cid:durableId="2142728168">
    <w:abstractNumId w:val="7"/>
  </w:num>
  <w:num w:numId="15" w16cid:durableId="509369480">
    <w:abstractNumId w:val="13"/>
  </w:num>
  <w:num w:numId="16" w16cid:durableId="842234514">
    <w:abstractNumId w:val="15"/>
  </w:num>
  <w:num w:numId="17" w16cid:durableId="438255372">
    <w:abstractNumId w:val="20"/>
  </w:num>
  <w:num w:numId="18" w16cid:durableId="567302597">
    <w:abstractNumId w:val="3"/>
  </w:num>
  <w:num w:numId="19" w16cid:durableId="1592814801">
    <w:abstractNumId w:val="4"/>
  </w:num>
  <w:num w:numId="20" w16cid:durableId="428939148">
    <w:abstractNumId w:val="21"/>
  </w:num>
  <w:num w:numId="21" w16cid:durableId="746075230">
    <w:abstractNumId w:val="22"/>
  </w:num>
  <w:num w:numId="22" w16cid:durableId="2140414218">
    <w:abstractNumId w:val="1"/>
  </w:num>
  <w:num w:numId="23" w16cid:durableId="15015089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C7"/>
    <w:rsid w:val="000D3C05"/>
    <w:rsid w:val="006126F1"/>
    <w:rsid w:val="00951F2D"/>
    <w:rsid w:val="00B3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AB40"/>
  <w15:chartTrackingRefBased/>
  <w15:docId w15:val="{FF1FD791-8701-4507-9B97-F1E3E79C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A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A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A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A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AC7"/>
    <w:rPr>
      <w:rFonts w:eastAsiaTheme="majorEastAsia" w:cstheme="majorBidi"/>
      <w:color w:val="272727" w:themeColor="text1" w:themeTint="D8"/>
    </w:rPr>
  </w:style>
  <w:style w:type="paragraph" w:styleId="Title">
    <w:name w:val="Title"/>
    <w:basedOn w:val="Normal"/>
    <w:next w:val="Normal"/>
    <w:link w:val="TitleChar"/>
    <w:uiPriority w:val="10"/>
    <w:qFormat/>
    <w:rsid w:val="00B32A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A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A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AC7"/>
    <w:rPr>
      <w:i/>
      <w:iCs/>
      <w:color w:val="404040" w:themeColor="text1" w:themeTint="BF"/>
    </w:rPr>
  </w:style>
  <w:style w:type="paragraph" w:styleId="ListParagraph">
    <w:name w:val="List Paragraph"/>
    <w:basedOn w:val="Normal"/>
    <w:uiPriority w:val="34"/>
    <w:qFormat/>
    <w:rsid w:val="00B32AC7"/>
    <w:pPr>
      <w:ind w:left="720"/>
      <w:contextualSpacing/>
    </w:pPr>
  </w:style>
  <w:style w:type="character" w:styleId="IntenseEmphasis">
    <w:name w:val="Intense Emphasis"/>
    <w:basedOn w:val="DefaultParagraphFont"/>
    <w:uiPriority w:val="21"/>
    <w:qFormat/>
    <w:rsid w:val="00B32AC7"/>
    <w:rPr>
      <w:i/>
      <w:iCs/>
      <w:color w:val="0F4761" w:themeColor="accent1" w:themeShade="BF"/>
    </w:rPr>
  </w:style>
  <w:style w:type="paragraph" w:styleId="IntenseQuote">
    <w:name w:val="Intense Quote"/>
    <w:basedOn w:val="Normal"/>
    <w:next w:val="Normal"/>
    <w:link w:val="IntenseQuoteChar"/>
    <w:uiPriority w:val="30"/>
    <w:qFormat/>
    <w:rsid w:val="00B32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AC7"/>
    <w:rPr>
      <w:i/>
      <w:iCs/>
      <w:color w:val="0F4761" w:themeColor="accent1" w:themeShade="BF"/>
    </w:rPr>
  </w:style>
  <w:style w:type="character" w:styleId="IntenseReference">
    <w:name w:val="Intense Reference"/>
    <w:basedOn w:val="DefaultParagraphFont"/>
    <w:uiPriority w:val="32"/>
    <w:qFormat/>
    <w:rsid w:val="00B32A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919795">
      <w:bodyDiv w:val="1"/>
      <w:marLeft w:val="0"/>
      <w:marRight w:val="0"/>
      <w:marTop w:val="0"/>
      <w:marBottom w:val="0"/>
      <w:divBdr>
        <w:top w:val="none" w:sz="0" w:space="0" w:color="auto"/>
        <w:left w:val="none" w:sz="0" w:space="0" w:color="auto"/>
        <w:bottom w:val="none" w:sz="0" w:space="0" w:color="auto"/>
        <w:right w:val="none" w:sz="0" w:space="0" w:color="auto"/>
      </w:divBdr>
      <w:divsChild>
        <w:div w:id="1377269267">
          <w:marLeft w:val="0"/>
          <w:marRight w:val="0"/>
          <w:marTop w:val="0"/>
          <w:marBottom w:val="0"/>
          <w:divBdr>
            <w:top w:val="none" w:sz="0" w:space="0" w:color="auto"/>
            <w:left w:val="none" w:sz="0" w:space="0" w:color="auto"/>
            <w:bottom w:val="none" w:sz="0" w:space="0" w:color="auto"/>
            <w:right w:val="none" w:sz="0" w:space="0" w:color="auto"/>
          </w:divBdr>
        </w:div>
        <w:div w:id="1964574207">
          <w:marLeft w:val="0"/>
          <w:marRight w:val="0"/>
          <w:marTop w:val="0"/>
          <w:marBottom w:val="0"/>
          <w:divBdr>
            <w:top w:val="none" w:sz="0" w:space="0" w:color="auto"/>
            <w:left w:val="none" w:sz="0" w:space="0" w:color="auto"/>
            <w:bottom w:val="none" w:sz="0" w:space="0" w:color="auto"/>
            <w:right w:val="none" w:sz="0" w:space="0" w:color="auto"/>
          </w:divBdr>
        </w:div>
        <w:div w:id="1209806269">
          <w:marLeft w:val="0"/>
          <w:marRight w:val="0"/>
          <w:marTop w:val="0"/>
          <w:marBottom w:val="0"/>
          <w:divBdr>
            <w:top w:val="none" w:sz="0" w:space="0" w:color="auto"/>
            <w:left w:val="none" w:sz="0" w:space="0" w:color="auto"/>
            <w:bottom w:val="none" w:sz="0" w:space="0" w:color="auto"/>
            <w:right w:val="none" w:sz="0" w:space="0" w:color="auto"/>
          </w:divBdr>
          <w:divsChild>
            <w:div w:id="289868533">
              <w:marLeft w:val="0"/>
              <w:marRight w:val="0"/>
              <w:marTop w:val="0"/>
              <w:marBottom w:val="0"/>
              <w:divBdr>
                <w:top w:val="none" w:sz="0" w:space="0" w:color="auto"/>
                <w:left w:val="none" w:sz="0" w:space="0" w:color="auto"/>
                <w:bottom w:val="none" w:sz="0" w:space="0" w:color="auto"/>
                <w:right w:val="none" w:sz="0" w:space="0" w:color="auto"/>
              </w:divBdr>
            </w:div>
            <w:div w:id="1295403105">
              <w:marLeft w:val="0"/>
              <w:marRight w:val="0"/>
              <w:marTop w:val="0"/>
              <w:marBottom w:val="0"/>
              <w:divBdr>
                <w:top w:val="none" w:sz="0" w:space="0" w:color="auto"/>
                <w:left w:val="none" w:sz="0" w:space="0" w:color="auto"/>
                <w:bottom w:val="none" w:sz="0" w:space="0" w:color="auto"/>
                <w:right w:val="none" w:sz="0" w:space="0" w:color="auto"/>
              </w:divBdr>
            </w:div>
            <w:div w:id="1885563118">
              <w:marLeft w:val="0"/>
              <w:marRight w:val="0"/>
              <w:marTop w:val="0"/>
              <w:marBottom w:val="0"/>
              <w:divBdr>
                <w:top w:val="none" w:sz="0" w:space="0" w:color="auto"/>
                <w:left w:val="none" w:sz="0" w:space="0" w:color="auto"/>
                <w:bottom w:val="none" w:sz="0" w:space="0" w:color="auto"/>
                <w:right w:val="none" w:sz="0" w:space="0" w:color="auto"/>
              </w:divBdr>
            </w:div>
            <w:div w:id="730075869">
              <w:marLeft w:val="0"/>
              <w:marRight w:val="0"/>
              <w:marTop w:val="0"/>
              <w:marBottom w:val="0"/>
              <w:divBdr>
                <w:top w:val="none" w:sz="0" w:space="0" w:color="auto"/>
                <w:left w:val="none" w:sz="0" w:space="0" w:color="auto"/>
                <w:bottom w:val="none" w:sz="0" w:space="0" w:color="auto"/>
                <w:right w:val="none" w:sz="0" w:space="0" w:color="auto"/>
              </w:divBdr>
            </w:div>
            <w:div w:id="958754972">
              <w:marLeft w:val="0"/>
              <w:marRight w:val="0"/>
              <w:marTop w:val="0"/>
              <w:marBottom w:val="0"/>
              <w:divBdr>
                <w:top w:val="none" w:sz="0" w:space="0" w:color="auto"/>
                <w:left w:val="none" w:sz="0" w:space="0" w:color="auto"/>
                <w:bottom w:val="none" w:sz="0" w:space="0" w:color="auto"/>
                <w:right w:val="none" w:sz="0" w:space="0" w:color="auto"/>
              </w:divBdr>
            </w:div>
            <w:div w:id="1238398939">
              <w:marLeft w:val="0"/>
              <w:marRight w:val="0"/>
              <w:marTop w:val="0"/>
              <w:marBottom w:val="0"/>
              <w:divBdr>
                <w:top w:val="none" w:sz="0" w:space="0" w:color="auto"/>
                <w:left w:val="none" w:sz="0" w:space="0" w:color="auto"/>
                <w:bottom w:val="none" w:sz="0" w:space="0" w:color="auto"/>
                <w:right w:val="none" w:sz="0" w:space="0" w:color="auto"/>
              </w:divBdr>
            </w:div>
            <w:div w:id="744454816">
              <w:marLeft w:val="0"/>
              <w:marRight w:val="0"/>
              <w:marTop w:val="0"/>
              <w:marBottom w:val="0"/>
              <w:divBdr>
                <w:top w:val="none" w:sz="0" w:space="0" w:color="auto"/>
                <w:left w:val="none" w:sz="0" w:space="0" w:color="auto"/>
                <w:bottom w:val="none" w:sz="0" w:space="0" w:color="auto"/>
                <w:right w:val="none" w:sz="0" w:space="0" w:color="auto"/>
              </w:divBdr>
            </w:div>
            <w:div w:id="1846749848">
              <w:marLeft w:val="0"/>
              <w:marRight w:val="0"/>
              <w:marTop w:val="0"/>
              <w:marBottom w:val="0"/>
              <w:divBdr>
                <w:top w:val="none" w:sz="0" w:space="0" w:color="auto"/>
                <w:left w:val="none" w:sz="0" w:space="0" w:color="auto"/>
                <w:bottom w:val="none" w:sz="0" w:space="0" w:color="auto"/>
                <w:right w:val="none" w:sz="0" w:space="0" w:color="auto"/>
              </w:divBdr>
            </w:div>
            <w:div w:id="842670564">
              <w:marLeft w:val="0"/>
              <w:marRight w:val="0"/>
              <w:marTop w:val="0"/>
              <w:marBottom w:val="0"/>
              <w:divBdr>
                <w:top w:val="none" w:sz="0" w:space="0" w:color="auto"/>
                <w:left w:val="none" w:sz="0" w:space="0" w:color="auto"/>
                <w:bottom w:val="none" w:sz="0" w:space="0" w:color="auto"/>
                <w:right w:val="none" w:sz="0" w:space="0" w:color="auto"/>
              </w:divBdr>
            </w:div>
            <w:div w:id="525605827">
              <w:marLeft w:val="0"/>
              <w:marRight w:val="0"/>
              <w:marTop w:val="0"/>
              <w:marBottom w:val="0"/>
              <w:divBdr>
                <w:top w:val="none" w:sz="0" w:space="0" w:color="auto"/>
                <w:left w:val="none" w:sz="0" w:space="0" w:color="auto"/>
                <w:bottom w:val="none" w:sz="0" w:space="0" w:color="auto"/>
                <w:right w:val="none" w:sz="0" w:space="0" w:color="auto"/>
              </w:divBdr>
            </w:div>
            <w:div w:id="136606670">
              <w:marLeft w:val="0"/>
              <w:marRight w:val="0"/>
              <w:marTop w:val="0"/>
              <w:marBottom w:val="0"/>
              <w:divBdr>
                <w:top w:val="none" w:sz="0" w:space="0" w:color="auto"/>
                <w:left w:val="none" w:sz="0" w:space="0" w:color="auto"/>
                <w:bottom w:val="none" w:sz="0" w:space="0" w:color="auto"/>
                <w:right w:val="none" w:sz="0" w:space="0" w:color="auto"/>
              </w:divBdr>
            </w:div>
            <w:div w:id="2146117453">
              <w:marLeft w:val="0"/>
              <w:marRight w:val="0"/>
              <w:marTop w:val="0"/>
              <w:marBottom w:val="0"/>
              <w:divBdr>
                <w:top w:val="none" w:sz="0" w:space="0" w:color="auto"/>
                <w:left w:val="none" w:sz="0" w:space="0" w:color="auto"/>
                <w:bottom w:val="none" w:sz="0" w:space="0" w:color="auto"/>
                <w:right w:val="none" w:sz="0" w:space="0" w:color="auto"/>
              </w:divBdr>
            </w:div>
            <w:div w:id="942570564">
              <w:marLeft w:val="0"/>
              <w:marRight w:val="0"/>
              <w:marTop w:val="0"/>
              <w:marBottom w:val="0"/>
              <w:divBdr>
                <w:top w:val="none" w:sz="0" w:space="0" w:color="auto"/>
                <w:left w:val="none" w:sz="0" w:space="0" w:color="auto"/>
                <w:bottom w:val="none" w:sz="0" w:space="0" w:color="auto"/>
                <w:right w:val="none" w:sz="0" w:space="0" w:color="auto"/>
              </w:divBdr>
            </w:div>
            <w:div w:id="417602352">
              <w:marLeft w:val="0"/>
              <w:marRight w:val="0"/>
              <w:marTop w:val="0"/>
              <w:marBottom w:val="0"/>
              <w:divBdr>
                <w:top w:val="none" w:sz="0" w:space="0" w:color="auto"/>
                <w:left w:val="none" w:sz="0" w:space="0" w:color="auto"/>
                <w:bottom w:val="none" w:sz="0" w:space="0" w:color="auto"/>
                <w:right w:val="none" w:sz="0" w:space="0" w:color="auto"/>
              </w:divBdr>
            </w:div>
            <w:div w:id="16590836">
              <w:marLeft w:val="0"/>
              <w:marRight w:val="0"/>
              <w:marTop w:val="0"/>
              <w:marBottom w:val="0"/>
              <w:divBdr>
                <w:top w:val="none" w:sz="0" w:space="0" w:color="auto"/>
                <w:left w:val="none" w:sz="0" w:space="0" w:color="auto"/>
                <w:bottom w:val="none" w:sz="0" w:space="0" w:color="auto"/>
                <w:right w:val="none" w:sz="0" w:space="0" w:color="auto"/>
              </w:divBdr>
            </w:div>
            <w:div w:id="1004357592">
              <w:marLeft w:val="0"/>
              <w:marRight w:val="0"/>
              <w:marTop w:val="0"/>
              <w:marBottom w:val="0"/>
              <w:divBdr>
                <w:top w:val="none" w:sz="0" w:space="0" w:color="auto"/>
                <w:left w:val="none" w:sz="0" w:space="0" w:color="auto"/>
                <w:bottom w:val="none" w:sz="0" w:space="0" w:color="auto"/>
                <w:right w:val="none" w:sz="0" w:space="0" w:color="auto"/>
              </w:divBdr>
            </w:div>
            <w:div w:id="388039672">
              <w:marLeft w:val="0"/>
              <w:marRight w:val="0"/>
              <w:marTop w:val="0"/>
              <w:marBottom w:val="0"/>
              <w:divBdr>
                <w:top w:val="none" w:sz="0" w:space="0" w:color="auto"/>
                <w:left w:val="none" w:sz="0" w:space="0" w:color="auto"/>
                <w:bottom w:val="none" w:sz="0" w:space="0" w:color="auto"/>
                <w:right w:val="none" w:sz="0" w:space="0" w:color="auto"/>
              </w:divBdr>
            </w:div>
            <w:div w:id="176505783">
              <w:marLeft w:val="0"/>
              <w:marRight w:val="0"/>
              <w:marTop w:val="0"/>
              <w:marBottom w:val="0"/>
              <w:divBdr>
                <w:top w:val="none" w:sz="0" w:space="0" w:color="auto"/>
                <w:left w:val="none" w:sz="0" w:space="0" w:color="auto"/>
                <w:bottom w:val="none" w:sz="0" w:space="0" w:color="auto"/>
                <w:right w:val="none" w:sz="0" w:space="0" w:color="auto"/>
              </w:divBdr>
            </w:div>
            <w:div w:id="375545320">
              <w:marLeft w:val="0"/>
              <w:marRight w:val="0"/>
              <w:marTop w:val="0"/>
              <w:marBottom w:val="0"/>
              <w:divBdr>
                <w:top w:val="none" w:sz="0" w:space="0" w:color="auto"/>
                <w:left w:val="none" w:sz="0" w:space="0" w:color="auto"/>
                <w:bottom w:val="none" w:sz="0" w:space="0" w:color="auto"/>
                <w:right w:val="none" w:sz="0" w:space="0" w:color="auto"/>
              </w:divBdr>
            </w:div>
            <w:div w:id="1802989694">
              <w:marLeft w:val="0"/>
              <w:marRight w:val="0"/>
              <w:marTop w:val="0"/>
              <w:marBottom w:val="0"/>
              <w:divBdr>
                <w:top w:val="none" w:sz="0" w:space="0" w:color="auto"/>
                <w:left w:val="none" w:sz="0" w:space="0" w:color="auto"/>
                <w:bottom w:val="none" w:sz="0" w:space="0" w:color="auto"/>
                <w:right w:val="none" w:sz="0" w:space="0" w:color="auto"/>
              </w:divBdr>
            </w:div>
          </w:divsChild>
        </w:div>
        <w:div w:id="148400357">
          <w:marLeft w:val="0"/>
          <w:marRight w:val="0"/>
          <w:marTop w:val="0"/>
          <w:marBottom w:val="0"/>
          <w:divBdr>
            <w:top w:val="none" w:sz="0" w:space="0" w:color="auto"/>
            <w:left w:val="none" w:sz="0" w:space="0" w:color="auto"/>
            <w:bottom w:val="none" w:sz="0" w:space="0" w:color="auto"/>
            <w:right w:val="none" w:sz="0" w:space="0" w:color="auto"/>
          </w:divBdr>
          <w:divsChild>
            <w:div w:id="639841207">
              <w:marLeft w:val="0"/>
              <w:marRight w:val="0"/>
              <w:marTop w:val="0"/>
              <w:marBottom w:val="0"/>
              <w:divBdr>
                <w:top w:val="none" w:sz="0" w:space="0" w:color="auto"/>
                <w:left w:val="none" w:sz="0" w:space="0" w:color="auto"/>
                <w:bottom w:val="none" w:sz="0" w:space="0" w:color="auto"/>
                <w:right w:val="none" w:sz="0" w:space="0" w:color="auto"/>
              </w:divBdr>
            </w:div>
            <w:div w:id="233661552">
              <w:marLeft w:val="0"/>
              <w:marRight w:val="0"/>
              <w:marTop w:val="0"/>
              <w:marBottom w:val="0"/>
              <w:divBdr>
                <w:top w:val="none" w:sz="0" w:space="0" w:color="auto"/>
                <w:left w:val="none" w:sz="0" w:space="0" w:color="auto"/>
                <w:bottom w:val="none" w:sz="0" w:space="0" w:color="auto"/>
                <w:right w:val="none" w:sz="0" w:space="0" w:color="auto"/>
              </w:divBdr>
            </w:div>
            <w:div w:id="2121800262">
              <w:marLeft w:val="0"/>
              <w:marRight w:val="0"/>
              <w:marTop w:val="0"/>
              <w:marBottom w:val="0"/>
              <w:divBdr>
                <w:top w:val="none" w:sz="0" w:space="0" w:color="auto"/>
                <w:left w:val="none" w:sz="0" w:space="0" w:color="auto"/>
                <w:bottom w:val="none" w:sz="0" w:space="0" w:color="auto"/>
                <w:right w:val="none" w:sz="0" w:space="0" w:color="auto"/>
              </w:divBdr>
            </w:div>
            <w:div w:id="1747805602">
              <w:marLeft w:val="0"/>
              <w:marRight w:val="0"/>
              <w:marTop w:val="0"/>
              <w:marBottom w:val="0"/>
              <w:divBdr>
                <w:top w:val="none" w:sz="0" w:space="0" w:color="auto"/>
                <w:left w:val="none" w:sz="0" w:space="0" w:color="auto"/>
                <w:bottom w:val="none" w:sz="0" w:space="0" w:color="auto"/>
                <w:right w:val="none" w:sz="0" w:space="0" w:color="auto"/>
              </w:divBdr>
            </w:div>
            <w:div w:id="795484303">
              <w:marLeft w:val="0"/>
              <w:marRight w:val="0"/>
              <w:marTop w:val="0"/>
              <w:marBottom w:val="0"/>
              <w:divBdr>
                <w:top w:val="none" w:sz="0" w:space="0" w:color="auto"/>
                <w:left w:val="none" w:sz="0" w:space="0" w:color="auto"/>
                <w:bottom w:val="none" w:sz="0" w:space="0" w:color="auto"/>
                <w:right w:val="none" w:sz="0" w:space="0" w:color="auto"/>
              </w:divBdr>
            </w:div>
            <w:div w:id="1681472005">
              <w:marLeft w:val="0"/>
              <w:marRight w:val="0"/>
              <w:marTop w:val="0"/>
              <w:marBottom w:val="0"/>
              <w:divBdr>
                <w:top w:val="none" w:sz="0" w:space="0" w:color="auto"/>
                <w:left w:val="none" w:sz="0" w:space="0" w:color="auto"/>
                <w:bottom w:val="none" w:sz="0" w:space="0" w:color="auto"/>
                <w:right w:val="none" w:sz="0" w:space="0" w:color="auto"/>
              </w:divBdr>
            </w:div>
            <w:div w:id="106506029">
              <w:marLeft w:val="0"/>
              <w:marRight w:val="0"/>
              <w:marTop w:val="0"/>
              <w:marBottom w:val="0"/>
              <w:divBdr>
                <w:top w:val="none" w:sz="0" w:space="0" w:color="auto"/>
                <w:left w:val="none" w:sz="0" w:space="0" w:color="auto"/>
                <w:bottom w:val="none" w:sz="0" w:space="0" w:color="auto"/>
                <w:right w:val="none" w:sz="0" w:space="0" w:color="auto"/>
              </w:divBdr>
            </w:div>
            <w:div w:id="961230682">
              <w:marLeft w:val="0"/>
              <w:marRight w:val="0"/>
              <w:marTop w:val="0"/>
              <w:marBottom w:val="0"/>
              <w:divBdr>
                <w:top w:val="none" w:sz="0" w:space="0" w:color="auto"/>
                <w:left w:val="none" w:sz="0" w:space="0" w:color="auto"/>
                <w:bottom w:val="none" w:sz="0" w:space="0" w:color="auto"/>
                <w:right w:val="none" w:sz="0" w:space="0" w:color="auto"/>
              </w:divBdr>
            </w:div>
            <w:div w:id="807623451">
              <w:marLeft w:val="0"/>
              <w:marRight w:val="0"/>
              <w:marTop w:val="0"/>
              <w:marBottom w:val="0"/>
              <w:divBdr>
                <w:top w:val="none" w:sz="0" w:space="0" w:color="auto"/>
                <w:left w:val="none" w:sz="0" w:space="0" w:color="auto"/>
                <w:bottom w:val="none" w:sz="0" w:space="0" w:color="auto"/>
                <w:right w:val="none" w:sz="0" w:space="0" w:color="auto"/>
              </w:divBdr>
            </w:div>
            <w:div w:id="1733389992">
              <w:marLeft w:val="0"/>
              <w:marRight w:val="0"/>
              <w:marTop w:val="0"/>
              <w:marBottom w:val="0"/>
              <w:divBdr>
                <w:top w:val="none" w:sz="0" w:space="0" w:color="auto"/>
                <w:left w:val="none" w:sz="0" w:space="0" w:color="auto"/>
                <w:bottom w:val="none" w:sz="0" w:space="0" w:color="auto"/>
                <w:right w:val="none" w:sz="0" w:space="0" w:color="auto"/>
              </w:divBdr>
            </w:div>
            <w:div w:id="10493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Aishina Shaffer</dc:creator>
  <cp:keywords/>
  <dc:description/>
  <cp:lastModifiedBy>Aishina Shaffer</cp:lastModifiedBy>
  <cp:revision>1</cp:revision>
  <dcterms:created xsi:type="dcterms:W3CDTF">2024-08-23T15:02:00Z</dcterms:created>
  <dcterms:modified xsi:type="dcterms:W3CDTF">2024-08-23T15:04:00Z</dcterms:modified>
</cp:coreProperties>
</file>