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F50B4" w:rsidRDefault="009F50B4" w14:paraId="3C20E507" w14:textId="77777777"/>
    <w:p w:rsidR="006262FC" w:rsidP="00022E0F" w:rsidRDefault="006262FC" w14:paraId="20D719A2" w14:textId="77777777">
      <w:pPr>
        <w:pStyle w:val="Heading1"/>
        <w:rPr>
          <w:bCs/>
        </w:rPr>
      </w:pPr>
      <w:r>
        <w:rPr>
          <w:bCs/>
        </w:rPr>
        <w:t>Healthy North Texas Website for Community Analysis</w:t>
      </w:r>
    </w:p>
    <w:p w:rsidR="006262FC" w:rsidP="00022E0F" w:rsidRDefault="006262FC" w14:paraId="12B15029" w14:textId="77777777">
      <w:pPr>
        <w:pStyle w:val="Heading1"/>
        <w:rPr>
          <w:bCs/>
        </w:rPr>
      </w:pPr>
      <w:r>
        <w:rPr>
          <w:bCs/>
        </w:rPr>
        <w:t>Overview</w:t>
      </w:r>
    </w:p>
    <w:p w:rsidRPr="00022E0F" w:rsidR="00022E0F" w:rsidP="00022E0F" w:rsidRDefault="00022E0F" w14:paraId="5A504F57" w14:textId="77777777">
      <w:pPr>
        <w:jc w:val="center"/>
        <w:rPr>
          <w:b/>
          <w:bCs/>
        </w:rPr>
      </w:pPr>
    </w:p>
    <w:p w:rsidR="006262FC" w:rsidP="003F526B" w:rsidRDefault="006262FC" w14:paraId="029332F4" w14:textId="77777777">
      <w:pPr>
        <w:pStyle w:val="Heading2"/>
      </w:pPr>
      <w:r w:rsidR="006262FC">
        <w:rPr/>
        <w:t>General Features</w:t>
      </w:r>
    </w:p>
    <w:p w:rsidR="2C42DCBF" w:rsidP="2C42DCBF" w:rsidRDefault="2C42DCBF" w14:paraId="4192C9CA" w14:textId="4E9B341D">
      <w:pPr>
        <w:ind w:firstLine="0"/>
      </w:pPr>
    </w:p>
    <w:p w:rsidR="002A48E4" w:rsidP="2C42DCBF" w:rsidRDefault="0028773E" w14:paraId="04FC5D62" w14:noSpellErr="1" w14:textId="3C368E1B">
      <w:pPr>
        <w:ind w:firstLine="0"/>
      </w:pPr>
      <w:r w:rsidR="00973F1F">
        <w:rPr/>
        <w:t>The Healthy North Texas Community Health Website</w:t>
      </w:r>
      <w:r w:rsidR="00440195">
        <w:rPr/>
        <w:t xml:space="preserve"> i</w:t>
      </w:r>
      <w:r w:rsidR="00973F1F">
        <w:rPr/>
        <w:t>s an initiative of the DFWHC Foundation through the work of the Community Health Collaborative.</w:t>
      </w:r>
      <w:r w:rsidR="00973F1F">
        <w:rPr/>
        <w:t xml:space="preserve"> This process is a community-based effort to improve the health and well-being of North Texas residents. </w:t>
      </w:r>
    </w:p>
    <w:p w:rsidR="2C42DCBF" w:rsidP="2C42DCBF" w:rsidRDefault="2C42DCBF" w14:paraId="563EB685" w14:textId="180DB073">
      <w:pPr>
        <w:ind w:firstLine="0"/>
      </w:pPr>
    </w:p>
    <w:p w:rsidR="006262FC" w:rsidP="2C42DCBF" w:rsidRDefault="002A48E4" w14:paraId="78A901F5" w14:noSpellErr="1" w14:textId="232DC360">
      <w:pPr>
        <w:ind w:firstLine="0"/>
      </w:pPr>
      <w:r w:rsidR="00973F1F">
        <w:rPr/>
        <w:t>Healthy North Texas is an initiative of the DFWHC and a collaborative effort among hospitals</w:t>
      </w:r>
      <w:r w:rsidR="002A48E4">
        <w:rPr/>
        <w:t xml:space="preserve"> (see Figure 1 for current donors)</w:t>
      </w:r>
      <w:r w:rsidR="00973F1F">
        <w:rPr/>
        <w:t>, community organizations, universities, business organizations, health and social service providers and community members</w:t>
      </w:r>
      <w:r w:rsidR="00973F1F">
        <w:rPr/>
        <w:t xml:space="preserve">. </w:t>
      </w:r>
      <w:r w:rsidR="00973F1F">
        <w:rPr/>
        <w:t xml:space="preserve">The community improvement process includes data collection, identification of areas for improvement, priority-setting, collaborative efforts to address the priority needs in North Texas and </w:t>
      </w:r>
      <w:r w:rsidR="00973F1F">
        <w:rPr/>
        <w:t>monitoring</w:t>
      </w:r>
      <w:r w:rsidR="00973F1F">
        <w:rPr/>
        <w:t xml:space="preserve"> the success of the </w:t>
      </w:r>
      <w:r w:rsidR="002A48E4">
        <w:rPr/>
        <w:t>improvement</w:t>
      </w:r>
      <w:r w:rsidR="00973F1F">
        <w:rPr/>
        <w:t xml:space="preserve"> efforts.</w:t>
      </w:r>
    </w:p>
    <w:p w:rsidR="002A48E4" w:rsidP="006262FC" w:rsidRDefault="002A48E4" w14:paraId="3E55FD8B" w14:textId="77777777"/>
    <w:p w:rsidR="002A48E4" w:rsidP="006262FC" w:rsidRDefault="002A48E4" w14:paraId="368509CD" w14:textId="28D5CF39">
      <w:r>
        <w:t>Figure 1:</w:t>
      </w:r>
    </w:p>
    <w:p w:rsidR="00973F1F" w:rsidP="006262FC" w:rsidRDefault="002A48E4" w14:paraId="65335445" w14:textId="7C1D081A">
      <w:r w:rsidRPr="002A48E4">
        <w:rPr>
          <w:i/>
          <w:iCs/>
        </w:rPr>
        <w:t xml:space="preserve">Partners who Donate to HNT </w:t>
      </w:r>
      <w:r>
        <w:rPr>
          <w:i/>
          <w:iCs/>
        </w:rPr>
        <w:t>M</w:t>
      </w:r>
      <w:r w:rsidRPr="002A48E4">
        <w:rPr>
          <w:i/>
          <w:iCs/>
        </w:rPr>
        <w:t xml:space="preserve">aintenance and </w:t>
      </w:r>
      <w:r>
        <w:rPr>
          <w:i/>
          <w:iCs/>
        </w:rPr>
        <w:t>De</w:t>
      </w:r>
      <w:r w:rsidRPr="002A48E4">
        <w:rPr>
          <w:i/>
          <w:iCs/>
        </w:rPr>
        <w:t xml:space="preserve">velopment </w:t>
      </w:r>
      <w:r>
        <w:rPr>
          <w:i/>
          <w:iCs/>
        </w:rPr>
        <w:t>A</w:t>
      </w:r>
      <w:r w:rsidRPr="002A48E4">
        <w:rPr>
          <w:i/>
          <w:iCs/>
        </w:rPr>
        <w:t>ctivities</w:t>
      </w:r>
      <w:r>
        <w:t xml:space="preserve">  </w:t>
      </w:r>
    </w:p>
    <w:p w:rsidR="00973F1F" w:rsidP="006262FC" w:rsidRDefault="00973F1F" w14:paraId="5523D3E6" w14:textId="4B33D40D">
      <w:r w:rsidRPr="00973F1F">
        <w:rPr>
          <w:noProof/>
        </w:rPr>
        <w:drawing>
          <wp:inline distT="0" distB="0" distL="0" distR="0" wp14:anchorId="0764942E" wp14:editId="4682F242">
            <wp:extent cx="2927445" cy="2532115"/>
            <wp:effectExtent l="19050" t="19050" r="25400" b="20955"/>
            <wp:docPr id="9" name="Picture 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8153" cy="25413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48E4" w:rsidP="006262FC" w:rsidRDefault="002A48E4" w14:paraId="1E5AC780" w14:textId="566E0737"/>
    <w:p w:rsidR="0015558F" w:rsidP="0015558F" w:rsidRDefault="0015558F" w14:paraId="5617A01F" w14:textId="1555B7DD">
      <w:pPr>
        <w:pStyle w:val="Heading2"/>
      </w:pPr>
      <w:r w:rsidR="0015558F">
        <w:rPr/>
        <w:t>Data Source</w:t>
      </w:r>
    </w:p>
    <w:p w:rsidR="2C42DCBF" w:rsidP="2C42DCBF" w:rsidRDefault="2C42DCBF" w14:paraId="7CED216D" w14:textId="76A0D118">
      <w:pPr>
        <w:ind w:firstLine="0"/>
      </w:pPr>
    </w:p>
    <w:p w:rsidR="0015558F" w:rsidP="2C42DCBF" w:rsidRDefault="00B72159" w14:paraId="147B5648" w14:noSpellErr="1" w14:textId="07766373">
      <w:pPr>
        <w:ind w:firstLine="0"/>
      </w:pPr>
      <w:r w:rsidR="0015558F">
        <w:rPr/>
        <w:t xml:space="preserve">The data comes from a variety of state and national sources, including the National Cancer Institute, the Centers for Disease Control, the American Community </w:t>
      </w:r>
      <w:r w:rsidR="0015558F">
        <w:rPr/>
        <w:t>Survey</w:t>
      </w:r>
      <w:r w:rsidR="0015558F">
        <w:rPr/>
        <w:t xml:space="preserve"> and many </w:t>
      </w:r>
      <w:r w:rsidR="0015558F">
        <w:rPr/>
        <w:t>state</w:t>
      </w:r>
      <w:r w:rsidR="0015558F">
        <w:rPr/>
        <w:t>-specific sources</w:t>
      </w:r>
      <w:r w:rsidR="0015558F">
        <w:rPr/>
        <w:t xml:space="preserve">. </w:t>
      </w:r>
      <w:r w:rsidR="0015558F">
        <w:rPr/>
        <w:t xml:space="preserve">Most of the data is reported on an annual basis. </w:t>
      </w:r>
      <w:r w:rsidR="0015558F">
        <w:rPr/>
        <w:t>Each indicator page includes the source of the data, the URL of the source, and when this data was last updated.</w:t>
      </w:r>
    </w:p>
    <w:p w:rsidR="2C42DCBF" w:rsidP="2C42DCBF" w:rsidRDefault="2C42DCBF" w14:paraId="0C1E7049" w14:textId="1C5CD1DA">
      <w:pPr>
        <w:ind w:firstLine="0"/>
        <w:rPr>
          <w:i w:val="1"/>
          <w:iCs w:val="1"/>
        </w:rPr>
      </w:pPr>
    </w:p>
    <w:p w:rsidR="00B72159" w:rsidP="2C42DCBF" w:rsidRDefault="00B72159" w14:paraId="40FA3E28" w14:noSpellErr="1" w14:textId="4C5A8663">
      <w:pPr>
        <w:ind w:firstLine="0"/>
      </w:pPr>
      <w:r w:rsidRPr="50655C2E" w:rsidR="00B72159">
        <w:rPr>
          <w:i w:val="1"/>
          <w:iCs w:val="1"/>
        </w:rPr>
        <w:t>Conduent Healthy Communities Institute (HCI)</w:t>
      </w:r>
      <w:r w:rsidR="00B72159">
        <w:rPr/>
        <w:t xml:space="preserve"> provides demographic and secondary data on health, health determinants, and quality of life topics</w:t>
      </w:r>
      <w:r w:rsidR="00B72159">
        <w:rPr/>
        <w:t>.</w:t>
      </w:r>
      <w:r w:rsidR="00440195">
        <w:rPr/>
        <w:t xml:space="preserve"> </w:t>
      </w:r>
      <w:r w:rsidR="00B72159">
        <w:rPr/>
        <w:t>Data is typically presented in comparison to the distribution of counties, state average, national average, or target values. Data is primarily derived from state and national public health sources</w:t>
      </w:r>
      <w:r w:rsidR="00B72159">
        <w:rPr/>
        <w:t xml:space="preserve">. </w:t>
      </w:r>
      <w:r w:rsidR="00B72159">
        <w:rPr/>
        <w:t xml:space="preserve">Through the Conduent HCI indicator platform, community members have easy access to critical information about their community. </w:t>
      </w:r>
    </w:p>
    <w:p w:rsidR="2C42DCBF" w:rsidP="2C42DCBF" w:rsidRDefault="2C42DCBF" w14:paraId="5D3A3F0C" w14:textId="64DFB1FA">
      <w:pPr>
        <w:ind w:firstLine="0"/>
      </w:pPr>
    </w:p>
    <w:p w:rsidR="00B72159" w:rsidP="2C42DCBF" w:rsidRDefault="00B72159" w14:paraId="13672E56" w14:textId="5B61CC28">
      <w:pPr>
        <w:ind w:firstLine="0"/>
      </w:pPr>
      <w:r w:rsidR="00B72159">
        <w:rPr/>
        <w:t>In terms of the overall approach, the primary aims of the Conduent HCI indicator platform are to inform and facilitate positive change.</w:t>
      </w:r>
      <w:r w:rsidR="00440195">
        <w:rPr/>
        <w:t xml:space="preserve"> </w:t>
      </w:r>
      <w:r w:rsidR="00B72159">
        <w:rPr/>
        <w:t xml:space="preserve">To inform, we must provide </w:t>
      </w:r>
      <w:r w:rsidR="00B72159">
        <w:rPr/>
        <w:t>accurate</w:t>
      </w:r>
      <w:r w:rsidR="00B72159">
        <w:rPr/>
        <w:t xml:space="preserve">, reliable, and </w:t>
      </w:r>
      <w:r w:rsidR="00B72159">
        <w:rPr/>
        <w:t>timely</w:t>
      </w:r>
      <w:r w:rsidR="00B72159">
        <w:rPr/>
        <w:t xml:space="preserve"> data at a geographically meaningful level. </w:t>
      </w:r>
      <w:r w:rsidR="00B72159">
        <w:rPr/>
        <w:t xml:space="preserve">We </w:t>
      </w:r>
      <w:r w:rsidR="00B72159">
        <w:rPr/>
        <w:t>accomplish</w:t>
      </w:r>
      <w:r w:rsidR="00B72159">
        <w:rPr/>
        <w:t xml:space="preserve"> this by selecting sources that meet the following criteria:</w:t>
      </w:r>
      <w:r>
        <w:br/>
      </w:r>
    </w:p>
    <w:p w:rsidR="00B72159" w:rsidP="00B72159" w:rsidRDefault="00B72159" w14:paraId="79CB0ADC" w14:textId="77777777">
      <w:pPr>
        <w:pStyle w:val="ListParagraph"/>
        <w:numPr>
          <w:ilvl w:val="0"/>
          <w:numId w:val="1"/>
        </w:numPr>
      </w:pPr>
      <w:r>
        <w:t>A validated methodology for data collection and analysis</w:t>
      </w:r>
    </w:p>
    <w:p w:rsidR="00B72159" w:rsidP="00B72159" w:rsidRDefault="00B72159" w14:paraId="7D6C8A3C" w14:textId="77777777">
      <w:pPr>
        <w:pStyle w:val="ListParagraph"/>
        <w:numPr>
          <w:ilvl w:val="0"/>
          <w:numId w:val="1"/>
        </w:numPr>
      </w:pPr>
      <w:r>
        <w:t>Scheduled, regular publication of findings</w:t>
      </w:r>
    </w:p>
    <w:p w:rsidR="00B72159" w:rsidP="00B72159" w:rsidRDefault="00B72159" w14:paraId="499D6268" w14:textId="48002ACA">
      <w:pPr>
        <w:pStyle w:val="ListParagraph"/>
        <w:numPr>
          <w:ilvl w:val="0"/>
          <w:numId w:val="1"/>
        </w:numPr>
      </w:pPr>
      <w:r>
        <w:t>Focus on data values for small geographic areas, such as counties and postal codes that are available for all county-level locations in the U.S or locally through our community partners</w:t>
      </w:r>
    </w:p>
    <w:p w:rsidR="0015558F" w:rsidP="006262FC" w:rsidRDefault="0015558F" w14:paraId="31642CE8" w14:textId="77777777"/>
    <w:p w:rsidR="00973F1F" w:rsidP="00973F1F" w:rsidRDefault="00973F1F" w14:paraId="7959B18B" w14:textId="60562F67">
      <w:pPr>
        <w:pStyle w:val="Heading2"/>
      </w:pPr>
      <w:r>
        <w:t>Geographic Areas</w:t>
      </w:r>
    </w:p>
    <w:p w:rsidR="00776671" w:rsidP="2C42DCBF" w:rsidRDefault="00CA0C8D" w14:paraId="4E11D193" w14:textId="7E3BB055">
      <w:pPr>
        <w:ind w:firstLine="0"/>
      </w:pPr>
      <w:r w:rsidR="00CA0C8D">
        <w:rPr/>
        <w:t>Geographically speaking, the data is available by region [north Texas]</w:t>
      </w:r>
      <w:r w:rsidR="00B10FF4">
        <w:rPr/>
        <w:t xml:space="preserve"> and by the associated geographic areas</w:t>
      </w:r>
      <w:r w:rsidR="00B10FF4">
        <w:rPr/>
        <w:t xml:space="preserve">.  </w:t>
      </w:r>
      <w:r w:rsidR="00B10FF4">
        <w:rPr/>
        <w:t xml:space="preserve">Those areas might be </w:t>
      </w:r>
      <w:r w:rsidR="00776671">
        <w:rPr/>
        <w:t xml:space="preserve">used to </w:t>
      </w:r>
      <w:r w:rsidR="003662E9">
        <w:rPr/>
        <w:t>pinpoint</w:t>
      </w:r>
      <w:r w:rsidR="00776671">
        <w:rPr/>
        <w:t xml:space="preserve"> a specific geographic location</w:t>
      </w:r>
      <w:r w:rsidR="00776671">
        <w:rPr/>
        <w:t xml:space="preserve">.  </w:t>
      </w:r>
      <w:r w:rsidR="00776671">
        <w:rPr/>
        <w:t xml:space="preserve">The location-based choices by which we can focus the analysis are: </w:t>
      </w:r>
      <w:r>
        <w:br/>
      </w:r>
    </w:p>
    <w:p w:rsidR="00776671" w:rsidP="007A0F93" w:rsidRDefault="00776671" w14:paraId="5EFE37EC" w14:textId="59B44DB2">
      <w:pPr>
        <w:pStyle w:val="ListParagraph"/>
        <w:numPr>
          <w:ilvl w:val="0"/>
          <w:numId w:val="2"/>
        </w:numPr>
      </w:pPr>
      <w:r>
        <w:t>Region [North Texas]</w:t>
      </w:r>
    </w:p>
    <w:p w:rsidR="00776671" w:rsidP="007A0F93" w:rsidRDefault="00776671" w14:paraId="75159441" w14:textId="00DDE418">
      <w:pPr>
        <w:pStyle w:val="ListParagraph"/>
        <w:numPr>
          <w:ilvl w:val="0"/>
          <w:numId w:val="2"/>
        </w:numPr>
      </w:pPr>
      <w:r>
        <w:t>Count</w:t>
      </w:r>
      <w:r w:rsidR="003662E9">
        <w:t>y</w:t>
      </w:r>
    </w:p>
    <w:p w:rsidR="00776671" w:rsidP="007A0F93" w:rsidRDefault="00776671" w14:paraId="1C54A64C" w14:textId="3066A950">
      <w:pPr>
        <w:pStyle w:val="ListParagraph"/>
        <w:numPr>
          <w:ilvl w:val="0"/>
          <w:numId w:val="2"/>
        </w:numPr>
      </w:pPr>
      <w:r>
        <w:t>Census Place (City)</w:t>
      </w:r>
    </w:p>
    <w:p w:rsidR="00776671" w:rsidP="007A0F93" w:rsidRDefault="00776671" w14:paraId="6D7A2CD7" w14:textId="39BC4A14">
      <w:pPr>
        <w:pStyle w:val="ListParagraph"/>
        <w:numPr>
          <w:ilvl w:val="0"/>
          <w:numId w:val="2"/>
        </w:numPr>
      </w:pPr>
      <w:r>
        <w:t>Metropolitan Statistical Area (MSA) e.g., Dallas-Plano-Irving or Fort Worth-Arlington]</w:t>
      </w:r>
    </w:p>
    <w:p w:rsidR="00776671" w:rsidP="007A0F93" w:rsidRDefault="00776671" w14:paraId="0772BDBB" w14:textId="1BC15132">
      <w:pPr>
        <w:pStyle w:val="ListParagraph"/>
        <w:numPr>
          <w:ilvl w:val="0"/>
          <w:numId w:val="2"/>
        </w:numPr>
      </w:pPr>
      <w:r>
        <w:t>Substrate Region [e.g., 3a or 3b]</w:t>
      </w:r>
    </w:p>
    <w:p w:rsidR="00776671" w:rsidP="007A0F93" w:rsidRDefault="007A0F93" w14:paraId="6254AC0D" w14:textId="487BC10C">
      <w:pPr>
        <w:pStyle w:val="ListParagraph"/>
        <w:numPr>
          <w:ilvl w:val="0"/>
          <w:numId w:val="2"/>
        </w:numPr>
      </w:pPr>
      <w:r>
        <w:t>Texas Education Agency (</w:t>
      </w:r>
      <w:r w:rsidR="00776671">
        <w:t>TEA</w:t>
      </w:r>
      <w:r>
        <w:t>)</w:t>
      </w:r>
      <w:r w:rsidR="00776671">
        <w:t xml:space="preserve"> Region [10, 11, or 12]</w:t>
      </w:r>
    </w:p>
    <w:p w:rsidR="00776671" w:rsidP="007A0F93" w:rsidRDefault="007A0F93" w14:paraId="682EFE19" w14:textId="7C1D5A43">
      <w:pPr>
        <w:pStyle w:val="ListParagraph"/>
        <w:numPr>
          <w:ilvl w:val="0"/>
          <w:numId w:val="2"/>
        </w:numPr>
      </w:pPr>
      <w:r>
        <w:t>Zip Code</w:t>
      </w:r>
    </w:p>
    <w:p w:rsidR="007A0F93" w:rsidP="007A0F93" w:rsidRDefault="007A0F93" w14:paraId="2AA9C5F9" w14:textId="58343019">
      <w:pPr>
        <w:pStyle w:val="ListParagraph"/>
        <w:numPr>
          <w:ilvl w:val="0"/>
          <w:numId w:val="2"/>
        </w:numPr>
      </w:pPr>
      <w:r>
        <w:t>Census Track</w:t>
      </w:r>
    </w:p>
    <w:p w:rsidR="007A0F93" w:rsidP="0015558F" w:rsidRDefault="007A0F93" w14:paraId="6526046C" w14:textId="77777777"/>
    <w:p w:rsidR="006262FC" w:rsidP="006262FC" w:rsidRDefault="006262FC" w14:paraId="40F5EAC0" w14:textId="087B3D00">
      <w:pPr>
        <w:pStyle w:val="Heading2"/>
      </w:pPr>
      <w:r>
        <w:t xml:space="preserve">Indicators </w:t>
      </w:r>
    </w:p>
    <w:p w:rsidR="003662E9" w:rsidP="2C42DCBF" w:rsidRDefault="00730C19" w14:paraId="030DC572" w14:textId="425282B4">
      <w:pPr>
        <w:ind w:firstLine="0"/>
      </w:pPr>
      <w:r w:rsidR="00730C19">
        <w:rPr/>
        <w:t>Indicators are used to measure outcomes of a population health and</w:t>
      </w:r>
      <w:r w:rsidR="7609FE9E">
        <w:rPr/>
        <w:t xml:space="preserve"> </w:t>
      </w:r>
      <w:r w:rsidR="00730C19">
        <w:rPr/>
        <w:t>the community characteristic for health promotion. Major subgroups for categorizing indicators are:</w:t>
      </w:r>
      <w:r>
        <w:br/>
      </w:r>
    </w:p>
    <w:p w:rsidR="00730C19" w:rsidP="00730C19" w:rsidRDefault="00730C19" w14:paraId="55ABB8F4" w14:textId="154FC451">
      <w:pPr>
        <w:pStyle w:val="ListParagraph"/>
        <w:numPr>
          <w:ilvl w:val="0"/>
          <w:numId w:val="3"/>
        </w:numPr>
      </w:pPr>
      <w:r>
        <w:t>Health</w:t>
      </w:r>
    </w:p>
    <w:p w:rsidR="00730C19" w:rsidP="00730C19" w:rsidRDefault="00730C19" w14:paraId="302B0E80" w14:textId="77882A48">
      <w:pPr>
        <w:pStyle w:val="ListParagraph"/>
        <w:numPr>
          <w:ilvl w:val="0"/>
          <w:numId w:val="3"/>
        </w:numPr>
      </w:pPr>
      <w:r>
        <w:t>Community</w:t>
      </w:r>
    </w:p>
    <w:p w:rsidR="00730C19" w:rsidP="00730C19" w:rsidRDefault="00730C19" w14:paraId="3DCB1354" w14:textId="66E6A57B">
      <w:pPr>
        <w:pStyle w:val="ListParagraph"/>
        <w:numPr>
          <w:ilvl w:val="0"/>
          <w:numId w:val="3"/>
        </w:numPr>
      </w:pPr>
      <w:r>
        <w:t>Economy</w:t>
      </w:r>
    </w:p>
    <w:p w:rsidR="00730C19" w:rsidP="00730C19" w:rsidRDefault="00730C19" w14:paraId="396745D0" w14:textId="720919F4">
      <w:pPr>
        <w:pStyle w:val="ListParagraph"/>
        <w:numPr>
          <w:ilvl w:val="0"/>
          <w:numId w:val="3"/>
        </w:numPr>
      </w:pPr>
      <w:r>
        <w:t>Education</w:t>
      </w:r>
    </w:p>
    <w:p w:rsidR="00730C19" w:rsidP="00730C19" w:rsidRDefault="00730C19" w14:paraId="62358D90" w14:textId="16B94C11">
      <w:pPr>
        <w:pStyle w:val="ListParagraph"/>
        <w:numPr>
          <w:ilvl w:val="0"/>
          <w:numId w:val="3"/>
        </w:numPr>
      </w:pPr>
      <w:r>
        <w:t>Environmental Health [such as Air Quality]</w:t>
      </w:r>
    </w:p>
    <w:p w:rsidR="00730C19" w:rsidP="00730C19" w:rsidRDefault="00730C19" w14:paraId="5DA7F666" w14:textId="77777777"/>
    <w:p w:rsidR="006262FC" w:rsidP="003F526B" w:rsidRDefault="006262FC" w14:paraId="0D4230D6" w14:textId="441B8CCC">
      <w:pPr>
        <w:pStyle w:val="Heading2"/>
      </w:pPr>
      <w:r>
        <w:t>Features and Functions</w:t>
      </w:r>
    </w:p>
    <w:p w:rsidR="00730C19" w:rsidP="2C42DCBF" w:rsidRDefault="00730C19" w14:paraId="6FF545FF" w14:textId="6BC6985E" w14:noSpellErr="1">
      <w:pPr>
        <w:ind w:firstLine="0"/>
      </w:pPr>
      <w:r w:rsidR="00730C19">
        <w:rPr/>
        <w:t xml:space="preserve">The </w:t>
      </w:r>
      <w:r w:rsidR="00730C19">
        <w:rPr/>
        <w:t>main features</w:t>
      </w:r>
      <w:r w:rsidR="00730C19">
        <w:rPr/>
        <w:t xml:space="preserve"> and functions available on the HNT website are Community Health Collaborative, Explore Data, See How We Compare, </w:t>
      </w:r>
      <w:r w:rsidR="00730C19">
        <w:rPr/>
        <w:t>Locate</w:t>
      </w:r>
      <w:r w:rsidR="00730C19">
        <w:rPr/>
        <w:t xml:space="preserve"> Resources and Funding, and Learn More</w:t>
      </w:r>
      <w:r w:rsidR="00730C19">
        <w:rPr/>
        <w:t xml:space="preserve">.  </w:t>
      </w:r>
      <w:r w:rsidR="00440195">
        <w:rPr/>
        <w:t>(</w:t>
      </w:r>
      <w:r w:rsidR="00730C19">
        <w:rPr/>
        <w:t>See Figure 2 for specific layout.</w:t>
      </w:r>
      <w:r w:rsidR="00440195">
        <w:rPr/>
        <w:t>)</w:t>
      </w:r>
      <w:r w:rsidR="00730C19">
        <w:rPr/>
        <w:t xml:space="preserve">  </w:t>
      </w:r>
      <w:r w:rsidR="00440195">
        <w:rPr/>
        <w:t>For</w:t>
      </w:r>
      <w:r w:rsidR="001519A2">
        <w:rPr/>
        <w:t xml:space="preserve"> this learning activity, “Explore Data” will be used</w:t>
      </w:r>
      <w:r w:rsidR="001519A2">
        <w:rPr/>
        <w:t xml:space="preserve">.  </w:t>
      </w:r>
      <w:r w:rsidR="001519A2">
        <w:rPr/>
        <w:t xml:space="preserve">We will use the “Dashboard Landing Page” to create a community-based dashboard. </w:t>
      </w:r>
    </w:p>
    <w:p w:rsidR="00730C19" w:rsidP="00730C19" w:rsidRDefault="00730C19" w14:paraId="35D1B711" w14:textId="77777777"/>
    <w:p w:rsidRPr="00730C19" w:rsidR="00730C19" w:rsidP="00730C19" w:rsidRDefault="00730C19" w14:paraId="637B55F4" w14:textId="03A4DF8B">
      <w:pPr>
        <w:rPr>
          <w:b/>
          <w:bCs/>
        </w:rPr>
      </w:pPr>
      <w:r w:rsidRPr="00730C19">
        <w:rPr>
          <w:b/>
          <w:bCs/>
        </w:rPr>
        <w:t>Figure 2:</w:t>
      </w:r>
    </w:p>
    <w:p w:rsidRPr="00730C19" w:rsidR="00730C19" w:rsidP="00730C19" w:rsidRDefault="00730C19" w14:paraId="67208D25" w14:textId="37558680">
      <w:pPr>
        <w:rPr>
          <w:i/>
          <w:iCs/>
        </w:rPr>
      </w:pPr>
      <w:r w:rsidRPr="00730C19">
        <w:rPr>
          <w:i/>
          <w:iCs/>
        </w:rPr>
        <w:t>Layout for Main Menu Features and Fun</w:t>
      </w:r>
      <w:r>
        <w:rPr>
          <w:i/>
          <w:iCs/>
        </w:rPr>
        <w:t>c</w:t>
      </w:r>
      <w:r w:rsidRPr="00730C19">
        <w:rPr>
          <w:i/>
          <w:iCs/>
        </w:rPr>
        <w:t>tions</w:t>
      </w:r>
    </w:p>
    <w:p w:rsidR="00730C19" w:rsidP="00730C19" w:rsidRDefault="00322EB9" w14:paraId="70DF81C2" w14:textId="341B9B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8F697" wp14:editId="354CCB63">
                <wp:simplePos x="0" y="0"/>
                <wp:positionH relativeFrom="column">
                  <wp:posOffset>1834519</wp:posOffset>
                </wp:positionH>
                <wp:positionV relativeFrom="paragraph">
                  <wp:posOffset>408511</wp:posOffset>
                </wp:positionV>
                <wp:extent cx="143301" cy="532263"/>
                <wp:effectExtent l="14923" t="80327" r="24447" b="43498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39523">
                          <a:off x="0" y="0"/>
                          <a:ext cx="143301" cy="532263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FF3F7C9">
              <v:shapetype id="_x0000_t67" coordsize="21600,21600" o:spt="67" adj="16200,5400" path="m0@0l@1@0@1,0@2,0@2@0,21600@0,10800,21600xe" w14:anchorId="2B5588AF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2" style="position:absolute;margin-left:144.45pt;margin-top:32.15pt;width:11.3pt;height:41.9pt;rotation:681522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00000" strokecolor="#c00000" strokeweight="1pt" type="#_x0000_t67" adj="1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"/>
            </w:pict>
          </mc:Fallback>
        </mc:AlternateContent>
      </w:r>
      <w:r w:rsidR="009F36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9F8BD" wp14:editId="0E6F5B75">
                <wp:simplePos x="0" y="0"/>
                <wp:positionH relativeFrom="margin">
                  <wp:align>left</wp:align>
                </wp:positionH>
                <wp:positionV relativeFrom="paragraph">
                  <wp:posOffset>420569</wp:posOffset>
                </wp:positionV>
                <wp:extent cx="4430120" cy="335792"/>
                <wp:effectExtent l="19050" t="19050" r="2794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0120" cy="3357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4BD40F">
              <v:rect id="Rectangle 11" style="position:absolute;margin-left:0;margin-top:33.1pt;width:348.85pt;height:26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#c00000" strokeweight="2.25pt" w14:anchorId="1B8D01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">
                <w10:wrap anchorx="margin"/>
              </v:rect>
            </w:pict>
          </mc:Fallback>
        </mc:AlternateContent>
      </w:r>
      <w:r w:rsidRPr="00730C19" w:rsidR="00730C19">
        <w:rPr>
          <w:noProof/>
        </w:rPr>
        <w:drawing>
          <wp:inline distT="0" distB="0" distL="0" distR="0" wp14:anchorId="755A2DED" wp14:editId="703D7AB6">
            <wp:extent cx="4483290" cy="1914499"/>
            <wp:effectExtent l="0" t="0" r="0" b="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9184" cy="193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30C19" w:rsidR="00730C19" w:rsidP="00730C19" w:rsidRDefault="00730C19" w14:paraId="7B849CFE" w14:textId="77777777"/>
    <w:p w:rsidRPr="006262FC" w:rsidR="006262FC" w:rsidP="006262FC" w:rsidRDefault="006262FC" w14:paraId="2B758269" w14:textId="474EE191">
      <w:pPr>
        <w:pStyle w:val="Heading1"/>
      </w:pPr>
      <w:r>
        <w:t xml:space="preserve">Create Report and Comparison </w:t>
      </w:r>
    </w:p>
    <w:p w:rsidR="006262FC" w:rsidP="003F526B" w:rsidRDefault="006262FC" w14:paraId="495DAAF5" w14:textId="6AA38C87">
      <w:pPr>
        <w:pStyle w:val="Heading2"/>
      </w:pPr>
      <w:r w:rsidR="006262FC">
        <w:rPr/>
        <w:t>Diabetes Indicator(s) for</w:t>
      </w:r>
      <w:r w:rsidR="00EC1967">
        <w:rPr/>
        <w:t xml:space="preserve"> </w:t>
      </w:r>
      <w:proofErr w:type="gramStart"/>
      <w:r w:rsidR="006262FC">
        <w:rPr/>
        <w:t>Adults</w:t>
      </w:r>
      <w:proofErr w:type="gramEnd"/>
    </w:p>
    <w:p w:rsidR="008A425F" w:rsidP="50655C2E" w:rsidRDefault="00223717" w14:paraId="04442971" w14:textId="19D4387D">
      <w:pPr>
        <w:pStyle w:val="Normal"/>
        <w:ind w:firstLine="0"/>
      </w:pPr>
      <w:r w:rsidRPr="00223717" w:rsidR="00223717">
        <w:rPr/>
        <w:t xml:space="preserve">Diabetes is a leading cause of death in the United States. </w:t>
      </w:r>
      <w:r w:rsidR="00440195">
        <w:rPr/>
        <w:t xml:space="preserve"> </w:t>
      </w:r>
      <w:r w:rsidRPr="00223717" w:rsidR="00223717">
        <w:rPr/>
        <w:t xml:space="preserve">According to the Centers for Disease Control and Prevention (CDC), more than 25 million people have diabetes, including both diagnosed and undiagnosed cases. </w:t>
      </w:r>
      <w:r w:rsidR="00440195">
        <w:rPr/>
        <w:t xml:space="preserve"> </w:t>
      </w:r>
      <w:r w:rsidRPr="00223717" w:rsidR="00223717">
        <w:rPr/>
        <w:t xml:space="preserve">This disease can have a harmful effect on most of the organ systems in the human body; it is a frequent cause of end-stage renal disease, non-traumatic lower-extremity amputation, and a </w:t>
      </w:r>
      <w:r w:rsidRPr="00223717" w:rsidR="00223717">
        <w:rPr/>
        <w:t xml:space="preserve">leading cause of blindness among working age adults. </w:t>
      </w:r>
      <w:r w:rsidR="00B73E60">
        <w:rPr/>
        <w:t>See Appendix A for a list of how indicators are measured to determine healthcare outcomes.</w:t>
      </w:r>
    </w:p>
    <w:p w:rsidR="006262FC" w:rsidP="33E2B3C6" w:rsidRDefault="008A425F" w14:paraId="6ED197AE" w14:textId="4621985A">
      <w:pPr>
        <w:ind w:firstLine="0"/>
      </w:pPr>
      <w:r>
        <w:br/>
      </w:r>
      <w:r>
        <w:tab/>
      </w:r>
      <w:r w:rsidRPr="00223717" w:rsidR="00223717">
        <w:rPr/>
        <w:t>Persons with diabetes are also at increased risk for ischemic heart disease, neuropathy, and stroke. According to the CDC, the direct medical expenditures attributable to diabetes are over $116 billion. Diabetes disproportionately affects minority populations and the elderly, and its incidence is likely to increase as minority populations grow and the U.S. population ages.</w:t>
      </w:r>
      <w:r w:rsidR="008A425F">
        <w:rPr/>
        <w:t xml:space="preserve"> </w:t>
      </w:r>
      <w:r w:rsidR="00440195">
        <w:rPr/>
        <w:t xml:space="preserve"> </w:t>
      </w:r>
      <w:r w:rsidR="008A425F">
        <w:rPr/>
        <w:t xml:space="preserve">Note that for the HNT website, “Adults with Diabetes” indicator information is available by “Census Place (City).  </w:t>
      </w:r>
      <w:r w:rsidR="00B83503">
        <w:rPr/>
        <w:t>See Figure 3.</w:t>
      </w:r>
    </w:p>
    <w:p w:rsidR="00223717" w:rsidP="00223717" w:rsidRDefault="00223717" w14:paraId="433C1BEE" w14:textId="74085DCA"/>
    <w:p w:rsidRPr="009F36EB" w:rsidR="00223717" w:rsidP="00223717" w:rsidRDefault="00223717" w14:paraId="0002FEEE" w14:textId="79B301FE">
      <w:pPr>
        <w:rPr>
          <w:b/>
          <w:bCs/>
        </w:rPr>
      </w:pPr>
      <w:r w:rsidRPr="009F36EB">
        <w:rPr>
          <w:b/>
          <w:bCs/>
        </w:rPr>
        <w:t>Figure 3</w:t>
      </w:r>
    </w:p>
    <w:p w:rsidRPr="009F36EB" w:rsidR="00223717" w:rsidP="00223717" w:rsidRDefault="009F36EB" w14:paraId="636075F1" w14:textId="62BF1653">
      <w:pPr>
        <w:rPr>
          <w:i/>
          <w:iCs/>
        </w:rPr>
      </w:pPr>
      <w:r w:rsidRPr="009F36EB">
        <w:rPr>
          <w:i/>
          <w:iCs/>
        </w:rPr>
        <w:t>Locations Available for Diabetes Analysis</w:t>
      </w:r>
    </w:p>
    <w:p w:rsidR="00223717" w:rsidP="00223717" w:rsidRDefault="009F36EB" w14:paraId="4A78514F" w14:textId="0A0F10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90AA8" wp14:editId="0C52711A">
                <wp:simplePos x="0" y="0"/>
                <wp:positionH relativeFrom="margin">
                  <wp:align>left</wp:align>
                </wp:positionH>
                <wp:positionV relativeFrom="paragraph">
                  <wp:posOffset>179365</wp:posOffset>
                </wp:positionV>
                <wp:extent cx="5057917" cy="649690"/>
                <wp:effectExtent l="19050" t="19050" r="2857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917" cy="649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0CACFF">
              <v:rect id="Rectangle 14" style="position:absolute;margin-left:0;margin-top:14.1pt;width:398.25pt;height:51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#c00000" strokeweight="2.25pt" w14:anchorId="723F4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">
                <w10:wrap anchorx="margin"/>
              </v:rect>
            </w:pict>
          </mc:Fallback>
        </mc:AlternateContent>
      </w:r>
      <w:r w:rsidRPr="00223717" w:rsidR="00223717">
        <w:rPr>
          <w:noProof/>
        </w:rPr>
        <w:drawing>
          <wp:inline distT="0" distB="0" distL="0" distR="0" wp14:anchorId="365438D6" wp14:editId="4FC0929C">
            <wp:extent cx="5081128" cy="1202425"/>
            <wp:effectExtent l="19050" t="19050" r="24765" b="17145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629" cy="12172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3717" w:rsidP="00223717" w:rsidRDefault="00223717" w14:paraId="3D924D39" w14:textId="30A94F16"/>
    <w:p w:rsidRPr="00223717" w:rsidR="00223717" w:rsidP="00223717" w:rsidRDefault="00223717" w14:paraId="6A4BCE7D" w14:textId="77777777"/>
    <w:p w:rsidR="006262FC" w:rsidP="006262FC" w:rsidRDefault="006262FC" w14:paraId="366E64AC" w14:textId="3CC1A671">
      <w:pPr>
        <w:pStyle w:val="Heading2"/>
      </w:pPr>
      <w:r>
        <w:t>Diabetes Indicators for City of Arlington</w:t>
      </w:r>
    </w:p>
    <w:p w:rsidR="00223717" w:rsidP="00223717" w:rsidRDefault="00292C62" w14:paraId="6C1B0594" w14:textId="7C177648">
      <w:r>
        <w:t>On the main menu of HNT, select “Explore Data &gt; Dashboard Landing Page”</w:t>
      </w:r>
    </w:p>
    <w:p w:rsidR="00292C62" w:rsidP="00223717" w:rsidRDefault="00292C62" w14:paraId="5AD1A24C" w14:textId="7BAE19C9">
      <w:r>
        <w:t>On the “Explore Data” web page, select ‘Community Dashboard”</w:t>
      </w:r>
    </w:p>
    <w:p w:rsidRPr="00F9677A" w:rsidR="00292C62" w:rsidP="00223717" w:rsidRDefault="00292C62" w14:paraId="6E7F883A" w14:textId="37859287">
      <w:r>
        <w:t xml:space="preserve">On the “Find and Indicator” dropdown list, select </w:t>
      </w:r>
      <w:r w:rsidRPr="00292C62">
        <w:rPr>
          <w:i/>
          <w:iCs/>
        </w:rPr>
        <w:t>Health/Diabetes for Adults with Diabetes</w:t>
      </w:r>
      <w:r w:rsidR="00F9677A">
        <w:rPr>
          <w:i/>
          <w:iCs/>
        </w:rPr>
        <w:t xml:space="preserve"> </w:t>
      </w:r>
      <w:r w:rsidR="00F9677A">
        <w:t>(see Figure 4).</w:t>
      </w:r>
    </w:p>
    <w:p w:rsidR="00292C62" w:rsidP="00223717" w:rsidRDefault="00292C62" w14:paraId="157A57D2" w14:textId="77777777"/>
    <w:p w:rsidR="33E2B3C6" w:rsidP="33E2B3C6" w:rsidRDefault="33E2B3C6" w14:paraId="36477F48" w14:textId="270D09E7">
      <w:pPr>
        <w:rPr>
          <w:b w:val="1"/>
          <w:bCs w:val="1"/>
        </w:rPr>
      </w:pPr>
    </w:p>
    <w:p w:rsidR="33E2B3C6" w:rsidP="33E2B3C6" w:rsidRDefault="33E2B3C6" w14:paraId="6AABA3A3" w14:textId="45788E91">
      <w:pPr>
        <w:rPr>
          <w:b w:val="1"/>
          <w:bCs w:val="1"/>
        </w:rPr>
      </w:pPr>
    </w:p>
    <w:p w:rsidR="33E2B3C6" w:rsidP="33E2B3C6" w:rsidRDefault="33E2B3C6" w14:paraId="7CBB6537" w14:textId="4BD5FA86">
      <w:pPr>
        <w:rPr>
          <w:b w:val="1"/>
          <w:bCs w:val="1"/>
        </w:rPr>
      </w:pPr>
    </w:p>
    <w:p w:rsidR="33E2B3C6" w:rsidP="33E2B3C6" w:rsidRDefault="33E2B3C6" w14:paraId="12A99A6A" w14:textId="16F7C63C">
      <w:pPr>
        <w:rPr>
          <w:b w:val="1"/>
          <w:bCs w:val="1"/>
        </w:rPr>
      </w:pPr>
    </w:p>
    <w:p w:rsidR="33E2B3C6" w:rsidP="33E2B3C6" w:rsidRDefault="33E2B3C6" w14:paraId="78A11561" w14:textId="255630D0">
      <w:pPr>
        <w:rPr>
          <w:b w:val="1"/>
          <w:bCs w:val="1"/>
        </w:rPr>
      </w:pPr>
    </w:p>
    <w:p w:rsidRPr="00292C62" w:rsidR="00292C62" w:rsidP="00223717" w:rsidRDefault="00292C62" w14:paraId="0BA5E5BB" w14:textId="093491F6">
      <w:pPr>
        <w:rPr>
          <w:b/>
          <w:bCs/>
        </w:rPr>
      </w:pPr>
      <w:r w:rsidRPr="00292C62">
        <w:rPr>
          <w:b/>
          <w:bCs/>
        </w:rPr>
        <w:t>Figure 4</w:t>
      </w:r>
    </w:p>
    <w:p w:rsidRPr="00292C62" w:rsidR="00292C62" w:rsidP="00223717" w:rsidRDefault="00292C62" w14:paraId="40D03F44" w14:textId="15B71E8A">
      <w:pPr>
        <w:rPr>
          <w:i/>
          <w:iCs/>
        </w:rPr>
      </w:pPr>
      <w:r w:rsidRPr="00292C62">
        <w:rPr>
          <w:i/>
          <w:iCs/>
        </w:rPr>
        <w:t>Selecting Indicator Web Page</w:t>
      </w:r>
    </w:p>
    <w:p w:rsidR="00B86CA6" w:rsidP="00223717" w:rsidRDefault="00322EB9" w14:paraId="50D79DC8" w14:textId="099CF5E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257DD" wp14:editId="094D8AF8">
                <wp:simplePos x="0" y="0"/>
                <wp:positionH relativeFrom="column">
                  <wp:posOffset>1634542</wp:posOffset>
                </wp:positionH>
                <wp:positionV relativeFrom="paragraph">
                  <wp:posOffset>1762519</wp:posOffset>
                </wp:positionV>
                <wp:extent cx="135798" cy="532263"/>
                <wp:effectExtent l="0" t="141287" r="0" b="123508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46602">
                          <a:off x="0" y="0"/>
                          <a:ext cx="135798" cy="532263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CD7A979">
              <v:shape id="Arrow: Down 19" style="position:absolute;margin-left:128.7pt;margin-top:138.8pt;width:10.7pt;height:41.9pt;rotation:3655382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c00000" strokecolor="#c00000" strokeweight="1pt" type="#_x0000_t67" adj="1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" w14:anchorId="4E030220"/>
            </w:pict>
          </mc:Fallback>
        </mc:AlternateContent>
      </w:r>
      <w:r w:rsidRPr="00B86CA6" w:rsidR="00B86CA6">
        <w:rPr>
          <w:noProof/>
        </w:rPr>
        <w:drawing>
          <wp:inline distT="0" distB="0" distL="0" distR="0" wp14:anchorId="31720E6B" wp14:editId="01E7B88A">
            <wp:extent cx="4870336" cy="2403427"/>
            <wp:effectExtent l="19050" t="19050" r="26035" b="1651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853" cy="24441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6CA6" w:rsidP="00223717" w:rsidRDefault="00B86CA6" w14:paraId="7FAD9104" w14:textId="0395DADA"/>
    <w:p w:rsidR="00F9677A" w:rsidP="00223717" w:rsidRDefault="00F9677A" w14:paraId="26F9A115" w14:textId="6E35ED32">
      <w:r>
        <w:t xml:space="preserve">Once the Indicator is selected, the location can be determined.  </w:t>
      </w:r>
    </w:p>
    <w:p w:rsidR="00F9677A" w:rsidP="00223717" w:rsidRDefault="00F9677A" w14:paraId="25D99B7D" w14:textId="77777777"/>
    <w:p w:rsidR="00292C62" w:rsidP="00223717" w:rsidRDefault="00F9677A" w14:paraId="33148870" w14:textId="1C562F76">
      <w:r>
        <w:t>On the next web page, click</w:t>
      </w:r>
      <w:r w:rsidR="00292C62">
        <w:t xml:space="preserve"> the “Select a Location” dropdown list option and then click on “Census Place (City): Arlington</w:t>
      </w:r>
      <w:r>
        <w:t xml:space="preserve"> (see Figure 5).</w:t>
      </w:r>
    </w:p>
    <w:p w:rsidR="00292C62" w:rsidP="00223717" w:rsidRDefault="00292C62" w14:paraId="793763DA" w14:textId="4AB9C2EC"/>
    <w:p w:rsidR="00F9677A" w:rsidP="00223717" w:rsidRDefault="00F9677A" w14:paraId="5377B1A6" w14:textId="31E705F2"/>
    <w:p w:rsidR="00F9677A" w:rsidRDefault="00F9677A" w14:paraId="06DBEA30" w14:textId="421DC863">
      <w:pPr>
        <w:widowControl/>
        <w:spacing w:after="160" w:line="259" w:lineRule="auto"/>
      </w:pPr>
      <w:r>
        <w:br w:type="page"/>
      </w:r>
    </w:p>
    <w:p w:rsidR="00F9677A" w:rsidP="00223717" w:rsidRDefault="00F9677A" w14:paraId="0B9D5FC0" w14:textId="77777777"/>
    <w:p w:rsidRPr="00F9677A" w:rsidR="00F9677A" w:rsidP="00223717" w:rsidRDefault="00F9677A" w14:paraId="37FF4414" w14:textId="31677798">
      <w:pPr>
        <w:rPr>
          <w:b/>
          <w:bCs/>
        </w:rPr>
      </w:pPr>
      <w:r w:rsidRPr="00F9677A">
        <w:rPr>
          <w:b/>
          <w:bCs/>
        </w:rPr>
        <w:t>Figure 5</w:t>
      </w:r>
    </w:p>
    <w:p w:rsidRPr="00F9677A" w:rsidR="00F9677A" w:rsidP="00223717" w:rsidRDefault="00F9677A" w14:paraId="733E8FC1" w14:textId="76725925">
      <w:pPr>
        <w:rPr>
          <w:i/>
          <w:iCs/>
        </w:rPr>
      </w:pPr>
      <w:r w:rsidRPr="00F9677A">
        <w:rPr>
          <w:i/>
          <w:iCs/>
        </w:rPr>
        <w:t>Selecting Location Web Page</w:t>
      </w:r>
    </w:p>
    <w:p w:rsidR="00292C62" w:rsidP="00223717" w:rsidRDefault="00292C62" w14:paraId="1FFB2939" w14:textId="35FFECA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7C30D" wp14:editId="56F3F851">
                <wp:simplePos x="0" y="0"/>
                <wp:positionH relativeFrom="margin">
                  <wp:align>center</wp:align>
                </wp:positionH>
                <wp:positionV relativeFrom="paragraph">
                  <wp:posOffset>1219736</wp:posOffset>
                </wp:positionV>
                <wp:extent cx="135798" cy="532263"/>
                <wp:effectExtent l="0" t="141287" r="0" b="123508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46602">
                          <a:off x="0" y="0"/>
                          <a:ext cx="135798" cy="532263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C2BDAF9">
              <v:shape id="Arrow: Down 21" style="position:absolute;margin-left:0;margin-top:96.05pt;width:10.7pt;height:41.9pt;rotation:3655382fd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spid="_x0000_s1026" fillcolor="#c00000" strokecolor="#c00000" strokeweight="1pt" type="#_x0000_t67" adj="1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" w14:anchorId="2FE5FF84">
                <w10:wrap anchorx="margin"/>
              </v:shape>
            </w:pict>
          </mc:Fallback>
        </mc:AlternateContent>
      </w:r>
      <w:r w:rsidRPr="00292C62">
        <w:rPr>
          <w:noProof/>
        </w:rPr>
        <w:drawing>
          <wp:inline distT="0" distB="0" distL="0" distR="0" wp14:anchorId="1472096D" wp14:editId="1BDEFF35">
            <wp:extent cx="3581116" cy="2432175"/>
            <wp:effectExtent l="19050" t="19050" r="19685" b="2540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1154" cy="24389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6CA6" w:rsidP="00223717" w:rsidRDefault="00B86CA6" w14:paraId="03DBC6E8" w14:textId="5F2CCB9C"/>
    <w:p w:rsidR="00F9677A" w:rsidP="00223717" w:rsidRDefault="00F9677A" w14:paraId="548C0726" w14:textId="6964C2BD">
      <w:r>
        <w:t xml:space="preserve">The HNT report for adults with diabetes in Arlington for 2019 will display as indicated in Figure 6.  </w:t>
      </w:r>
    </w:p>
    <w:p w:rsidR="00F9677A" w:rsidP="00223717" w:rsidRDefault="00F9677A" w14:paraId="598FB363" w14:textId="04D6D30B"/>
    <w:p w:rsidR="00F9677A" w:rsidRDefault="00F9677A" w14:paraId="406AFCF3" w14:textId="553BF86C">
      <w:pPr>
        <w:widowControl/>
        <w:spacing w:after="160" w:line="259" w:lineRule="auto"/>
      </w:pPr>
      <w:r>
        <w:br w:type="page"/>
      </w:r>
    </w:p>
    <w:p w:rsidR="00F9677A" w:rsidP="00223717" w:rsidRDefault="00F9677A" w14:paraId="30F8D624" w14:textId="77777777"/>
    <w:p w:rsidRPr="00F9677A" w:rsidR="00F9677A" w:rsidP="00223717" w:rsidRDefault="00F9677A" w14:paraId="0659EC92" w14:textId="1324EB2E">
      <w:pPr>
        <w:rPr>
          <w:b/>
          <w:bCs/>
        </w:rPr>
      </w:pPr>
      <w:r w:rsidRPr="00F9677A">
        <w:rPr>
          <w:b/>
          <w:bCs/>
        </w:rPr>
        <w:t>Figure 6</w:t>
      </w:r>
      <w:r w:rsidR="00B83503">
        <w:rPr>
          <w:b/>
          <w:bCs/>
        </w:rPr>
        <w:t>a</w:t>
      </w:r>
    </w:p>
    <w:p w:rsidRPr="00F9677A" w:rsidR="00F9677A" w:rsidP="00223717" w:rsidRDefault="00F9677A" w14:paraId="4F986366" w14:textId="14EE4B40">
      <w:pPr>
        <w:rPr>
          <w:i/>
          <w:iCs/>
        </w:rPr>
      </w:pPr>
      <w:r w:rsidRPr="00F9677A">
        <w:rPr>
          <w:i/>
          <w:iCs/>
        </w:rPr>
        <w:t>Report for Adults with Diabetes in Arlington, Texas in 2019</w:t>
      </w:r>
      <w:r w:rsidR="00B83503">
        <w:rPr>
          <w:i/>
          <w:iCs/>
        </w:rPr>
        <w:t>: Overview</w:t>
      </w:r>
    </w:p>
    <w:p w:rsidR="00223717" w:rsidP="00223717" w:rsidRDefault="00F9677A" w14:paraId="5605EF7E" w14:textId="7D7BCEF1">
      <w:r w:rsidRPr="00F9677A">
        <w:rPr>
          <w:noProof/>
        </w:rPr>
        <w:drawing>
          <wp:inline distT="0" distB="0" distL="0" distR="0" wp14:anchorId="0B15E64A" wp14:editId="78F16140">
            <wp:extent cx="4148114" cy="4748615"/>
            <wp:effectExtent l="19050" t="19050" r="24130" b="13970"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5388" cy="47569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677A" w:rsidP="00223717" w:rsidRDefault="00F9677A" w14:paraId="11BEF81A" w14:textId="227C6D4E"/>
    <w:p w:rsidR="00B83503" w:rsidRDefault="00B83503" w14:paraId="1A7A05BB" w14:textId="365A9695">
      <w:pPr>
        <w:widowControl/>
        <w:spacing w:after="160" w:line="259" w:lineRule="auto"/>
      </w:pPr>
      <w:r>
        <w:br w:type="page"/>
      </w:r>
    </w:p>
    <w:p w:rsidR="00B83503" w:rsidP="00223717" w:rsidRDefault="00B83503" w14:paraId="4C4F9ABC" w14:textId="77777777"/>
    <w:p w:rsidRPr="00B83503" w:rsidR="00B83503" w:rsidP="00223717" w:rsidRDefault="00B83503" w14:paraId="212CD52D" w14:textId="47794A51">
      <w:pPr>
        <w:rPr>
          <w:b/>
          <w:bCs/>
        </w:rPr>
      </w:pPr>
      <w:r w:rsidRPr="00B83503">
        <w:rPr>
          <w:b/>
          <w:bCs/>
        </w:rPr>
        <w:t>Figure 6</w:t>
      </w:r>
      <w:r>
        <w:rPr>
          <w:b/>
          <w:bCs/>
        </w:rPr>
        <w:t>b</w:t>
      </w:r>
    </w:p>
    <w:p w:rsidRPr="00F9677A" w:rsidR="00B83503" w:rsidP="00B83503" w:rsidRDefault="00B83503" w14:paraId="52E189F3" w14:textId="76AA3A95">
      <w:pPr>
        <w:rPr>
          <w:i/>
          <w:iCs/>
        </w:rPr>
      </w:pPr>
      <w:r w:rsidRPr="00F9677A">
        <w:rPr>
          <w:i/>
          <w:iCs/>
        </w:rPr>
        <w:t>Report for Adults with Diabetes in Arlington, Texas in 2019</w:t>
      </w:r>
      <w:r>
        <w:rPr>
          <w:i/>
          <w:iCs/>
        </w:rPr>
        <w:t>: Detailed View</w:t>
      </w:r>
    </w:p>
    <w:p w:rsidR="00B83503" w:rsidP="00223717" w:rsidRDefault="00B83503" w14:paraId="1D2C8AAD" w14:textId="77777777"/>
    <w:p w:rsidR="00F9677A" w:rsidP="00223717" w:rsidRDefault="00B83503" w14:paraId="5CAD49F0" w14:textId="75DFF90A">
      <w:pPr>
        <w:rPr>
          <w:b/>
          <w:bCs/>
        </w:rPr>
      </w:pPr>
      <w:r w:rsidRPr="00B83503">
        <w:rPr>
          <w:b/>
          <w:bCs/>
          <w:noProof/>
        </w:rPr>
        <w:drawing>
          <wp:inline distT="0" distB="0" distL="0" distR="0" wp14:anchorId="1EDF5A31" wp14:editId="76C81BD0">
            <wp:extent cx="3775028" cy="4571575"/>
            <wp:effectExtent l="19050" t="19050" r="16510" b="19685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7553" cy="46109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3503" w:rsidP="00223717" w:rsidRDefault="00B83503" w14:paraId="2C61E5DA" w14:textId="42BBA15B">
      <w:pPr>
        <w:rPr>
          <w:b/>
          <w:bCs/>
        </w:rPr>
      </w:pPr>
    </w:p>
    <w:p w:rsidRPr="00B83503" w:rsidR="00B83503" w:rsidP="00223717" w:rsidRDefault="00B83503" w14:paraId="3329ECA3" w14:textId="77777777">
      <w:pPr>
        <w:rPr>
          <w:b/>
          <w:bCs/>
        </w:rPr>
      </w:pPr>
    </w:p>
    <w:p w:rsidR="003662E9" w:rsidP="00322EB9" w:rsidRDefault="00550AB8" w14:paraId="34AE56E4" w14:textId="6A67F51D">
      <w:pPr>
        <w:rPr>
          <w:b/>
          <w:bCs/>
        </w:rPr>
      </w:pPr>
      <w:r>
        <w:rPr>
          <w:b/>
          <w:bCs/>
        </w:rPr>
        <w:t xml:space="preserve">Comparison:  </w:t>
      </w:r>
      <w:r w:rsidRPr="00EC1967" w:rsidR="006262FC">
        <w:rPr>
          <w:b/>
          <w:bCs/>
        </w:rPr>
        <w:t>Diabetes Indicators for Low and High rates of diabetes conditions</w:t>
      </w:r>
    </w:p>
    <w:p w:rsidRPr="00322EB9" w:rsidR="00B83503" w:rsidP="00322EB9" w:rsidRDefault="00B83503" w14:paraId="313359D0" w14:textId="77777777">
      <w:pPr>
        <w:rPr>
          <w:b/>
          <w:bCs/>
        </w:rPr>
      </w:pPr>
    </w:p>
    <w:p w:rsidR="003662E9" w:rsidRDefault="003662E9" w14:paraId="30A2DDC5" w14:textId="7322A555">
      <w:pPr>
        <w:widowControl/>
        <w:spacing w:after="160" w:line="259" w:lineRule="auto"/>
      </w:pPr>
      <w:r>
        <w:br w:type="page"/>
      </w:r>
    </w:p>
    <w:p w:rsidR="003662E9" w:rsidP="006262FC" w:rsidRDefault="003662E9" w14:paraId="132D94C2" w14:textId="56B09916"/>
    <w:p w:rsidR="003662E9" w:rsidP="003662E9" w:rsidRDefault="003662E9" w14:paraId="70E58F5D" w14:textId="77777777">
      <w:pPr>
        <w:pStyle w:val="Heading1"/>
      </w:pPr>
      <w:r>
        <w:t>Appendix A:  Indicator Measures</w:t>
      </w:r>
    </w:p>
    <w:p w:rsidR="003662E9" w:rsidP="003662E9" w:rsidRDefault="003662E9" w14:paraId="77D90F24" w14:textId="77777777"/>
    <w:p w:rsidR="003662E9" w:rsidP="003662E9" w:rsidRDefault="003662E9" w14:paraId="31B9D653" w14:textId="5E80D1A4">
      <w:r>
        <w:t xml:space="preserve">Prevalence: The total number of cases of a disease within a population at a given point in time. Prevalence is often given as a rate (the number of total cases divided by the number of individuals at risk for the disease). </w:t>
      </w:r>
      <w:r w:rsidR="00440195">
        <w:t xml:space="preserve"> </w:t>
      </w:r>
      <w:r>
        <w:t>Prevalence measures how much of a disease is in the population and can be thought of as a snapshot of a disease's progression in the population.</w:t>
      </w:r>
    </w:p>
    <w:p w:rsidR="003662E9" w:rsidP="003662E9" w:rsidRDefault="003662E9" w14:paraId="41600B97" w14:textId="77777777"/>
    <w:p w:rsidR="003662E9" w:rsidP="003662E9" w:rsidRDefault="003662E9" w14:paraId="1CA966BD" w14:textId="45F222E6">
      <w:r>
        <w:t xml:space="preserve">Incidence: The number of new cases of a disease within a population. </w:t>
      </w:r>
      <w:r w:rsidR="00440195">
        <w:t xml:space="preserve"> </w:t>
      </w:r>
      <w:r>
        <w:t>Incidence is often given as a rate (the number of new cases divided by the number of individuals at risk for the disease).</w:t>
      </w:r>
      <w:r w:rsidR="00440195">
        <w:t xml:space="preserve"> </w:t>
      </w:r>
      <w:r>
        <w:t xml:space="preserve"> Incidence measures the rate of occurrence of a disease in the population.</w:t>
      </w:r>
    </w:p>
    <w:p w:rsidR="003662E9" w:rsidP="003662E9" w:rsidRDefault="003662E9" w14:paraId="29D7340F" w14:textId="77777777"/>
    <w:p w:rsidR="003662E9" w:rsidP="003662E9" w:rsidRDefault="003662E9" w14:paraId="3FF4DD4B" w14:textId="77777777">
      <w:r>
        <w:t>Rate: A measure or ratio of one quantity against another. Rates are often used when describing the presence of disease within a population.</w:t>
      </w:r>
    </w:p>
    <w:p w:rsidR="003662E9" w:rsidP="003662E9" w:rsidRDefault="003662E9" w14:paraId="2FDA68C7" w14:textId="77777777"/>
    <w:p w:rsidR="003662E9" w:rsidP="003662E9" w:rsidRDefault="003662E9" w14:paraId="68F26EA9" w14:textId="6A288487">
      <w:r>
        <w:t>Ratio: An explanation of the relationship between two amounts that shows the number of times one value contains or is contained within the other.</w:t>
      </w:r>
    </w:p>
    <w:p w:rsidR="003662E9" w:rsidP="003662E9" w:rsidRDefault="003662E9" w14:paraId="378C3777" w14:textId="77777777"/>
    <w:p w:rsidR="003662E9" w:rsidP="003662E9" w:rsidRDefault="003662E9" w14:paraId="1938A38E" w14:textId="0FD378FC">
      <w:r>
        <w:t xml:space="preserve">Age-Adjusted: Age adjustment, also called age standardization, is a technique used to allow populations to be compared when the age profiles of the populations are quite different. </w:t>
      </w:r>
      <w:r w:rsidR="00440195">
        <w:t xml:space="preserve"> </w:t>
      </w:r>
      <w:r>
        <w:t xml:space="preserve">For indicators, the default rate type is age-adjusted (as opposed to crude), when age-adjusted rates are provided by the source. </w:t>
      </w:r>
      <w:r w:rsidR="00440195">
        <w:t xml:space="preserve"> </w:t>
      </w:r>
      <w:r>
        <w:t>Crude rates are used when age-adjusted rates are not available from the source.</w:t>
      </w:r>
    </w:p>
    <w:p w:rsidR="003662E9" w:rsidP="003662E9" w:rsidRDefault="003662E9" w14:paraId="2CE73177" w14:textId="77777777"/>
    <w:p w:rsidR="003662E9" w:rsidP="003662E9" w:rsidRDefault="003662E9" w14:paraId="3C616285" w14:textId="0F2125AF">
      <w:r>
        <w:t xml:space="preserve">Confidence Interval: The confidence interval describes how well a survey represents the population it refers to. </w:t>
      </w:r>
      <w:r w:rsidR="00440195">
        <w:t xml:space="preserve"> </w:t>
      </w:r>
      <w:r>
        <w:t>Consider a survey that measured the obesity rate as 35% with a 95% confidence level and a margin of error of 5%.</w:t>
      </w:r>
      <w:r w:rsidR="00440195">
        <w:t xml:space="preserve"> </w:t>
      </w:r>
      <w:r>
        <w:t xml:space="preserve"> In this scenario, 95 out of 100 times the survey is conducted, the measured percentage of the population that is obese falls between 30% and 40% (the confidence interval). </w:t>
      </w:r>
    </w:p>
    <w:p w:rsidR="003662E9" w:rsidP="003662E9" w:rsidRDefault="003662E9" w14:paraId="7F0D5C4F" w14:textId="77777777"/>
    <w:p w:rsidR="003662E9" w:rsidP="003662E9" w:rsidRDefault="003662E9" w14:paraId="3E9B344A" w14:textId="77777777">
      <w:r>
        <w:t>Margin of Error: The margin of error is another term used to describe how well a survey represents the population it refers to. In the above example, the margin of error is 5%.</w:t>
      </w:r>
    </w:p>
    <w:p w:rsidR="003662E9" w:rsidP="003662E9" w:rsidRDefault="003662E9" w14:paraId="6331E2CE" w14:textId="77777777"/>
    <w:p w:rsidR="003662E9" w:rsidP="003662E9" w:rsidRDefault="003662E9" w14:paraId="0BD6F692" w14:textId="77777777">
      <w:r>
        <w:t>Median: The value at the midpoint of a distribution of values ordered from smallest to largest.</w:t>
      </w:r>
    </w:p>
    <w:p w:rsidR="003662E9" w:rsidP="003662E9" w:rsidRDefault="003662E9" w14:paraId="50BDEA92" w14:textId="77777777"/>
    <w:p w:rsidR="003662E9" w:rsidP="003662E9" w:rsidRDefault="003662E9" w14:paraId="20DCD156" w14:textId="77777777">
      <w:r>
        <w:t>Distribution: A distribution is created by taking all zip code, county, or state values, ordering them from smallest to largest, and dividing them into quartiles based on their order.</w:t>
      </w:r>
    </w:p>
    <w:p w:rsidR="003662E9" w:rsidP="003662E9" w:rsidRDefault="003662E9" w14:paraId="2BE13B5A" w14:textId="77777777"/>
    <w:p w:rsidR="003662E9" w:rsidP="003662E9" w:rsidRDefault="003662E9" w14:paraId="7AAEB51F" w14:textId="31F1BED4">
      <w:r>
        <w:t>Unstable: A value that is marked unstable indicates a rate where small changes in the input will result in large changes in the rate.</w:t>
      </w:r>
      <w:r w:rsidR="00440195">
        <w:t xml:space="preserve"> </w:t>
      </w:r>
      <w:r>
        <w:t xml:space="preserve"> This is often due to small counts in the numerator or denominator (the input) used to calculate a rate. </w:t>
      </w:r>
      <w:r w:rsidR="00440195">
        <w:t xml:space="preserve"> </w:t>
      </w:r>
      <w:r>
        <w:t>Unstable rates should be interpreted with caution because it is difficult to differentiate between random and true changes in the rates.</w:t>
      </w:r>
    </w:p>
    <w:p w:rsidR="003662E9" w:rsidP="003662E9" w:rsidRDefault="003662E9" w14:paraId="1B6766C4" w14:textId="77777777"/>
    <w:p w:rsidRPr="00AA7136" w:rsidR="003662E9" w:rsidP="003662E9" w:rsidRDefault="003662E9" w14:paraId="68DE3475" w14:textId="2232A35C">
      <w:r>
        <w:t xml:space="preserve">Jenks’ Natural Breaks: A way to classify data values into optimal groups, often used in epidemiological mapping. </w:t>
      </w:r>
      <w:r w:rsidR="00440195">
        <w:t xml:space="preserve"> </w:t>
      </w:r>
      <w:r>
        <w:t>The natural breaks method reduces the variance within groups of values and maximizes variance between groups of values.</w:t>
      </w:r>
    </w:p>
    <w:p w:rsidRPr="006262FC" w:rsidR="003662E9" w:rsidP="006262FC" w:rsidRDefault="003662E9" w14:paraId="4FEDCD30" w14:textId="77777777"/>
    <w:sectPr w:rsidRPr="006262FC" w:rsidR="003662E9">
      <w:head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6DB4" w:rsidP="001467FD" w:rsidRDefault="002C6DB4" w14:paraId="1CBDBCEA" w14:textId="77777777">
      <w:r>
        <w:separator/>
      </w:r>
    </w:p>
  </w:endnote>
  <w:endnote w:type="continuationSeparator" w:id="0">
    <w:p w:rsidR="002C6DB4" w:rsidP="001467FD" w:rsidRDefault="002C6DB4" w14:paraId="7D0B23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6DB4" w:rsidP="001467FD" w:rsidRDefault="002C6DB4" w14:paraId="722F6AAE" w14:textId="77777777">
      <w:r>
        <w:separator/>
      </w:r>
    </w:p>
  </w:footnote>
  <w:footnote w:type="continuationSeparator" w:id="0">
    <w:p w:rsidR="002C6DB4" w:rsidP="001467FD" w:rsidRDefault="002C6DB4" w14:paraId="036917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:rsidR="00857669" w:rsidRDefault="00857669" w14:paraId="3A2EB3C8" w14:textId="77777777">
        <w:pPr>
          <w:pStyle w:val="Header"/>
        </w:pPr>
        <w:r>
          <w:t xml:space="preserve">                                                        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58C"/>
    <w:multiLevelType w:val="hybridMultilevel"/>
    <w:tmpl w:val="E72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DE4C1A"/>
    <w:multiLevelType w:val="hybridMultilevel"/>
    <w:tmpl w:val="A440A8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D550D4"/>
    <w:multiLevelType w:val="hybridMultilevel"/>
    <w:tmpl w:val="2786C6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4478187">
    <w:abstractNumId w:val="1"/>
  </w:num>
  <w:num w:numId="2" w16cid:durableId="1648784554">
    <w:abstractNumId w:val="2"/>
  </w:num>
  <w:num w:numId="3" w16cid:durableId="15624013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LA0sjQ0MzawsDBW0lEKTi0uzszPAykwqgUAFw6CeCwAAAA="/>
  </w:docVars>
  <w:rsids>
    <w:rsidRoot w:val="006262FC"/>
    <w:rsid w:val="00021B19"/>
    <w:rsid w:val="00022E0F"/>
    <w:rsid w:val="0005100A"/>
    <w:rsid w:val="001467FD"/>
    <w:rsid w:val="001519A2"/>
    <w:rsid w:val="0015558F"/>
    <w:rsid w:val="00194B82"/>
    <w:rsid w:val="00223717"/>
    <w:rsid w:val="0028773E"/>
    <w:rsid w:val="00292C62"/>
    <w:rsid w:val="002A48E4"/>
    <w:rsid w:val="002C6DB4"/>
    <w:rsid w:val="00302AAB"/>
    <w:rsid w:val="00322EB9"/>
    <w:rsid w:val="00335F54"/>
    <w:rsid w:val="003662E9"/>
    <w:rsid w:val="003C4B53"/>
    <w:rsid w:val="003F3C9E"/>
    <w:rsid w:val="003F526B"/>
    <w:rsid w:val="00426533"/>
    <w:rsid w:val="00440195"/>
    <w:rsid w:val="00550AB8"/>
    <w:rsid w:val="00592DB8"/>
    <w:rsid w:val="00612EA6"/>
    <w:rsid w:val="006262FC"/>
    <w:rsid w:val="00730C19"/>
    <w:rsid w:val="00776671"/>
    <w:rsid w:val="007A0F93"/>
    <w:rsid w:val="007B3906"/>
    <w:rsid w:val="00857669"/>
    <w:rsid w:val="008A425F"/>
    <w:rsid w:val="008B63C4"/>
    <w:rsid w:val="00973F1F"/>
    <w:rsid w:val="009F36EB"/>
    <w:rsid w:val="009F50B4"/>
    <w:rsid w:val="00AA7136"/>
    <w:rsid w:val="00B10FF4"/>
    <w:rsid w:val="00B72159"/>
    <w:rsid w:val="00B73E60"/>
    <w:rsid w:val="00B83503"/>
    <w:rsid w:val="00B86CA6"/>
    <w:rsid w:val="00CA0C8D"/>
    <w:rsid w:val="00D00E33"/>
    <w:rsid w:val="00DB6176"/>
    <w:rsid w:val="00E74E6E"/>
    <w:rsid w:val="00EC1967"/>
    <w:rsid w:val="00F718F9"/>
    <w:rsid w:val="00F86F65"/>
    <w:rsid w:val="00F9677A"/>
    <w:rsid w:val="00FE2285"/>
    <w:rsid w:val="2C42DCBF"/>
    <w:rsid w:val="33E2B3C6"/>
    <w:rsid w:val="50655C2E"/>
    <w:rsid w:val="7609F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BE67"/>
  <w15:chartTrackingRefBased/>
  <w15:docId w15:val="{0A8E9A72-C4C2-4E67-9FCD-481E4CC084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7136"/>
    <w:pPr>
      <w:widowControl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E0F"/>
    <w:pPr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6B"/>
    <w:p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26B"/>
    <w:pPr>
      <w:outlineLvl w:val="2"/>
    </w:pPr>
    <w:rPr>
      <w:rFonts w:eastAsiaTheme="majorEastAsia" w:cstheme="majorBidi"/>
      <w:b/>
      <w:bCs/>
      <w:i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7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67F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467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67FD"/>
    <w:rPr>
      <w:rFonts w:ascii="Times New Roman" w:hAnsi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022E0F"/>
    <w:rPr>
      <w:rFonts w:ascii="Times New Roman" w:hAnsi="Times New Roman" w:eastAsiaTheme="majorEastAsia" w:cstheme="majorBidi"/>
      <w:b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F526B"/>
    <w:rPr>
      <w:rFonts w:ascii="Times New Roman" w:hAnsi="Times New Roman" w:eastAsiaTheme="majorEastAsia" w:cstheme="majorBidi"/>
      <w:b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F526B"/>
    <w:rPr>
      <w:rFonts w:ascii="Times New Roman" w:hAnsi="Times New Roman" w:eastAsiaTheme="majorEastAsia" w:cstheme="majorBidi"/>
      <w:b/>
      <w:bCs/>
      <w:i/>
      <w:szCs w:val="24"/>
    </w:rPr>
  </w:style>
  <w:style w:type="paragraph" w:styleId="ListParagraph">
    <w:name w:val="List Paragraph"/>
    <w:basedOn w:val="Normal"/>
    <w:uiPriority w:val="34"/>
    <w:qFormat/>
    <w:rsid w:val="00B72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554EF1-47AF-4AAA-A62C-DCD8B23A4304}"/>
</file>

<file path=customXml/itemProps2.xml><?xml version="1.0" encoding="utf-8"?>
<ds:datastoreItem xmlns:ds="http://schemas.openxmlformats.org/officeDocument/2006/customXml" ds:itemID="{304FB48A-221C-43A4-9781-1F1DF2ABEA6F}"/>
</file>

<file path=customXml/itemProps3.xml><?xml version="1.0" encoding="utf-8"?>
<ds:datastoreItem xmlns:ds="http://schemas.openxmlformats.org/officeDocument/2006/customXml" ds:itemID="{110FB83E-384C-4A88-8706-B8445442A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Amy McElroy</lastModifiedBy>
  <revision>7</revision>
  <dcterms:created xsi:type="dcterms:W3CDTF">2022-11-08T19:50:00.0000000Z</dcterms:created>
  <dcterms:modified xsi:type="dcterms:W3CDTF">2024-08-27T13:47:29.8307259Z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0x0101000136F8D0C241684CA6E50AF8E79486B5</vt:lpwstr>
  </property>
  <property fmtid="{D5CDD505-2E9C-101B-9397-08002B2CF9AE}" pid="3" name="MediaServiceImageTags">
    <vt:lpwstr/>
  </property>
</Properties>
</file>