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9F93" w14:textId="51FF72C4" w:rsidR="00EC0512" w:rsidRDefault="006B5324">
      <w:r>
        <w:t xml:space="preserve">Discussion points </w:t>
      </w:r>
      <w:r w:rsidR="002C7097">
        <w:t>–</w:t>
      </w:r>
      <w:r>
        <w:t xml:space="preserve"> </w:t>
      </w:r>
      <w:r w:rsidR="00030F62">
        <w:t>D</w:t>
      </w:r>
      <w:r w:rsidR="000A0305">
        <w:t>ebriefing</w:t>
      </w:r>
    </w:p>
    <w:p w14:paraId="08DC9B2E" w14:textId="77777777" w:rsidR="002C7097" w:rsidRDefault="002C7097"/>
    <w:p w14:paraId="5D00139A" w14:textId="77777777" w:rsidR="002C7097" w:rsidRDefault="002C7097" w:rsidP="002C7097">
      <w:pPr>
        <w:pStyle w:val="Heading4"/>
        <w:shd w:val="clear" w:color="auto" w:fill="FFFFFF"/>
        <w:spacing w:before="0" w:after="0"/>
        <w:ind w:hanging="720"/>
        <w:jc w:val="both"/>
      </w:pPr>
      <w:r>
        <w:t xml:space="preserve">References:  </w:t>
      </w:r>
    </w:p>
    <w:p w14:paraId="648CDD21" w14:textId="77777777" w:rsidR="002C7097" w:rsidRPr="002C7097" w:rsidRDefault="002C7097" w:rsidP="002C7097">
      <w:pPr>
        <w:pStyle w:val="Heading4"/>
        <w:shd w:val="clear" w:color="auto" w:fill="FFFFFF"/>
        <w:spacing w:before="0" w:after="0"/>
        <w:ind w:left="720" w:hanging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Healthcare Simulation Standards of Best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Practice</w:t>
      </w:r>
      <w:r>
        <w:rPr>
          <w:rFonts w:ascii="Arial" w:hAnsi="Arial" w:cs="Arial"/>
          <w:b/>
          <w:bCs/>
          <w:color w:val="333333"/>
          <w:sz w:val="16"/>
          <w:szCs w:val="16"/>
          <w:vertAlign w:val="superscript"/>
        </w:rPr>
        <w:t>TM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The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Debriefing Process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. </w:t>
      </w:r>
    </w:p>
    <w:p w14:paraId="561648A2" w14:textId="77777777" w:rsidR="002C7097" w:rsidRPr="002C7097" w:rsidRDefault="002C7097" w:rsidP="002C7097">
      <w:pPr>
        <w:pStyle w:val="Heading4"/>
        <w:shd w:val="clear" w:color="auto" w:fill="FFFFFF"/>
        <w:spacing w:before="0" w:after="0"/>
        <w:ind w:left="720" w:hanging="720"/>
        <w:rPr>
          <w:rFonts w:ascii="Arial" w:hAnsi="Arial" w:cs="Arial"/>
          <w:color w:val="333333"/>
          <w:sz w:val="21"/>
          <w:szCs w:val="21"/>
        </w:rPr>
      </w:pPr>
      <w:r w:rsidRPr="002C7097">
        <w:rPr>
          <w:rFonts w:ascii="Helvetica Neue" w:hAnsi="Helvetica Neue"/>
          <w:color w:val="333333"/>
          <w:sz w:val="18"/>
          <w:szCs w:val="18"/>
        </w:rPr>
        <w:t>Decker, Sharon et al.</w:t>
      </w:r>
    </w:p>
    <w:p w14:paraId="002D8F04" w14:textId="4BC8168F" w:rsidR="002C7097" w:rsidRPr="002C7097" w:rsidRDefault="002C7097" w:rsidP="002C7097">
      <w:pPr>
        <w:pStyle w:val="Heading4"/>
        <w:shd w:val="clear" w:color="auto" w:fill="FFFFFF"/>
        <w:spacing w:before="0" w:after="0"/>
        <w:ind w:left="720" w:hanging="720"/>
        <w:rPr>
          <w:rFonts w:ascii="Arial" w:hAnsi="Arial" w:cs="Arial"/>
          <w:color w:val="333333"/>
          <w:sz w:val="21"/>
          <w:szCs w:val="21"/>
        </w:rPr>
      </w:pPr>
      <w:r w:rsidRPr="002C7097">
        <w:rPr>
          <w:rFonts w:ascii="Helvetica Neue" w:hAnsi="Helvetica Neue"/>
          <w:color w:val="333333"/>
          <w:sz w:val="18"/>
          <w:szCs w:val="18"/>
        </w:rPr>
        <w:t xml:space="preserve">Clinical Simulation </w:t>
      </w:r>
      <w:proofErr w:type="gramStart"/>
      <w:r w:rsidRPr="002C7097">
        <w:rPr>
          <w:rFonts w:ascii="Helvetica Neue" w:hAnsi="Helvetica Neue"/>
          <w:color w:val="333333"/>
          <w:sz w:val="18"/>
          <w:szCs w:val="18"/>
        </w:rPr>
        <w:t>In</w:t>
      </w:r>
      <w:proofErr w:type="gramEnd"/>
      <w:r w:rsidRPr="002C7097">
        <w:rPr>
          <w:rFonts w:ascii="Helvetica Neue" w:hAnsi="Helvetica Neue"/>
          <w:color w:val="333333"/>
          <w:sz w:val="18"/>
          <w:szCs w:val="18"/>
        </w:rPr>
        <w:t xml:space="preserve"> Nursing, Volume 58, 27 - 32</w:t>
      </w:r>
    </w:p>
    <w:p w14:paraId="18BF8D2A" w14:textId="77777777" w:rsidR="002C7097" w:rsidRPr="002C7097" w:rsidRDefault="002C7097" w:rsidP="002C7097">
      <w:pPr>
        <w:ind w:left="720" w:hanging="720"/>
      </w:pPr>
    </w:p>
    <w:p w14:paraId="022558E5" w14:textId="77777777" w:rsidR="002C7097" w:rsidRDefault="002C7097" w:rsidP="002C7097">
      <w:pPr>
        <w:shd w:val="clear" w:color="auto" w:fill="FFFFFF"/>
        <w:ind w:hanging="720"/>
        <w:jc w:val="both"/>
        <w:rPr>
          <w:rFonts w:ascii="Helvetica Neue" w:hAnsi="Helvetica Neue"/>
          <w:color w:val="333333"/>
          <w:sz w:val="18"/>
          <w:szCs w:val="18"/>
        </w:rPr>
      </w:pPr>
    </w:p>
    <w:p w14:paraId="6DCFF612" w14:textId="77777777" w:rsidR="002C7097" w:rsidRDefault="002C7097" w:rsidP="002C7097">
      <w:pPr>
        <w:pStyle w:val="Heading4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Healthcare Simulation Standards of Best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Practice</w:t>
      </w:r>
      <w:r>
        <w:rPr>
          <w:rFonts w:ascii="Arial" w:hAnsi="Arial" w:cs="Arial"/>
          <w:b/>
          <w:bCs/>
          <w:color w:val="333333"/>
          <w:sz w:val="16"/>
          <w:szCs w:val="16"/>
          <w:vertAlign w:val="superscript"/>
        </w:rPr>
        <w:t>TM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Facilitation</w:t>
      </w:r>
    </w:p>
    <w:p w14:paraId="5E20092D" w14:textId="77777777" w:rsidR="002C7097" w:rsidRDefault="002C7097" w:rsidP="002C7097">
      <w:pPr>
        <w:shd w:val="clear" w:color="auto" w:fill="FFFFFF"/>
        <w:ind w:left="360"/>
        <w:jc w:val="both"/>
        <w:rPr>
          <w:rFonts w:ascii="Helvetica Neue" w:hAnsi="Helvetica Neue" w:cs="Times New Roman"/>
          <w:color w:val="333333"/>
          <w:sz w:val="18"/>
          <w:szCs w:val="18"/>
        </w:rPr>
      </w:pPr>
      <w:r>
        <w:rPr>
          <w:rFonts w:ascii="Helvetica Neue" w:hAnsi="Helvetica Neue"/>
          <w:color w:val="333333"/>
          <w:sz w:val="18"/>
          <w:szCs w:val="18"/>
        </w:rPr>
        <w:t>Persico, Lori et al.</w:t>
      </w:r>
    </w:p>
    <w:p w14:paraId="0E0CDEB0" w14:textId="77777777" w:rsidR="002C7097" w:rsidRDefault="002C7097" w:rsidP="002C7097">
      <w:pPr>
        <w:shd w:val="clear" w:color="auto" w:fill="FFFFFF"/>
        <w:ind w:left="360"/>
        <w:jc w:val="both"/>
        <w:rPr>
          <w:rFonts w:ascii="Helvetica Neue" w:hAnsi="Helvetica Neue"/>
          <w:color w:val="333333"/>
          <w:sz w:val="18"/>
          <w:szCs w:val="18"/>
        </w:rPr>
      </w:pPr>
      <w:r>
        <w:rPr>
          <w:rFonts w:ascii="Helvetica Neue" w:hAnsi="Helvetica Neue"/>
          <w:color w:val="333333"/>
          <w:sz w:val="18"/>
          <w:szCs w:val="18"/>
        </w:rPr>
        <w:t xml:space="preserve">Clinical Simulation </w:t>
      </w:r>
      <w:proofErr w:type="gramStart"/>
      <w:r>
        <w:rPr>
          <w:rFonts w:ascii="Helvetica Neue" w:hAnsi="Helvetica Neue"/>
          <w:color w:val="333333"/>
          <w:sz w:val="18"/>
          <w:szCs w:val="18"/>
        </w:rPr>
        <w:t>In</w:t>
      </w:r>
      <w:proofErr w:type="gramEnd"/>
      <w:r>
        <w:rPr>
          <w:rFonts w:ascii="Helvetica Neue" w:hAnsi="Helvetica Neue"/>
          <w:color w:val="333333"/>
          <w:sz w:val="18"/>
          <w:szCs w:val="18"/>
        </w:rPr>
        <w:t xml:space="preserve"> Nursing, Volume 58, 22 - 26</w:t>
      </w:r>
    </w:p>
    <w:p w14:paraId="1EC7C986" w14:textId="77777777" w:rsidR="002C7097" w:rsidRDefault="002C7097" w:rsidP="002C7097"/>
    <w:p w14:paraId="43C0F83D" w14:textId="77777777" w:rsidR="002C7097" w:rsidRDefault="002C7097"/>
    <w:p w14:paraId="48D3D1C3" w14:textId="77777777" w:rsidR="000A0305" w:rsidRDefault="000A0305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951"/>
        <w:gridCol w:w="3223"/>
        <w:gridCol w:w="4176"/>
      </w:tblGrid>
      <w:tr w:rsidR="002C7097" w:rsidRPr="000A0305" w14:paraId="3D52E383" w14:textId="77777777" w:rsidTr="002C7097">
        <w:tc>
          <w:tcPr>
            <w:tcW w:w="9350" w:type="dxa"/>
            <w:gridSpan w:val="3"/>
            <w:shd w:val="clear" w:color="auto" w:fill="A5C9EB" w:themeFill="text2" w:themeFillTint="40"/>
          </w:tcPr>
          <w:p w14:paraId="5DBFC4F4" w14:textId="3847970F" w:rsidR="002C7097" w:rsidRDefault="002C7097" w:rsidP="00417FF6">
            <w:pPr>
              <w:jc w:val="center"/>
              <w:rPr>
                <w:b/>
                <w:bCs/>
              </w:rPr>
            </w:pPr>
            <w:r w:rsidRPr="004976CB">
              <w:rPr>
                <w:b/>
                <w:bCs/>
                <w:i/>
                <w:iCs/>
              </w:rPr>
              <w:t>Success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Debriefi</w:t>
            </w:r>
            <w:r>
              <w:rPr>
                <w:b/>
                <w:bCs/>
              </w:rPr>
              <w:t>ng script &amp; teaching points</w:t>
            </w:r>
          </w:p>
          <w:p w14:paraId="20F3A021" w14:textId="77777777" w:rsidR="002C7097" w:rsidRPr="000A0305" w:rsidRDefault="002C7097" w:rsidP="00417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0A0305" w:rsidRPr="000A0305" w14:paraId="7311D521" w14:textId="77777777" w:rsidTr="002C7097">
        <w:tc>
          <w:tcPr>
            <w:tcW w:w="1951" w:type="dxa"/>
          </w:tcPr>
          <w:p w14:paraId="3CD18C75" w14:textId="77777777" w:rsidR="000A0305" w:rsidRPr="000A0305" w:rsidRDefault="000A0305" w:rsidP="000A0305">
            <w:pPr>
              <w:jc w:val="center"/>
              <w:rPr>
                <w:b/>
                <w:bCs/>
              </w:rPr>
            </w:pPr>
          </w:p>
        </w:tc>
        <w:tc>
          <w:tcPr>
            <w:tcW w:w="3223" w:type="dxa"/>
          </w:tcPr>
          <w:p w14:paraId="3D1DD1FD" w14:textId="1345D144" w:rsidR="000A0305" w:rsidRPr="000A0305" w:rsidRDefault="002C7097" w:rsidP="002C7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Dialogue</w:t>
            </w:r>
          </w:p>
        </w:tc>
        <w:tc>
          <w:tcPr>
            <w:tcW w:w="4176" w:type="dxa"/>
          </w:tcPr>
          <w:p w14:paraId="3C0DA8CF" w14:textId="1B9E59C2" w:rsidR="000A0305" w:rsidRPr="000A0305" w:rsidRDefault="002C7097" w:rsidP="000A0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Notes </w:t>
            </w:r>
          </w:p>
        </w:tc>
      </w:tr>
      <w:tr w:rsidR="000A0305" w14:paraId="63088E34" w14:textId="77777777" w:rsidTr="002C7097">
        <w:tc>
          <w:tcPr>
            <w:tcW w:w="1951" w:type="dxa"/>
          </w:tcPr>
          <w:p w14:paraId="60AF4658" w14:textId="5B134C3C" w:rsidR="000A0305" w:rsidRDefault="000A0305">
            <w:r>
              <w:t>Greeting</w:t>
            </w:r>
            <w:r w:rsidR="002C7097">
              <w:t xml:space="preserve"> and Reactions phase</w:t>
            </w:r>
          </w:p>
        </w:tc>
        <w:tc>
          <w:tcPr>
            <w:tcW w:w="3223" w:type="dxa"/>
          </w:tcPr>
          <w:p w14:paraId="7B89F544" w14:textId="608381FE" w:rsidR="00600444" w:rsidRDefault="00E13179" w:rsidP="00030F62">
            <w:r>
              <w:t>Welcome</w:t>
            </w:r>
            <w:r w:rsidR="002C7097">
              <w:t xml:space="preserve">s </w:t>
            </w:r>
            <w:proofErr w:type="gramStart"/>
            <w:r w:rsidR="002C7097">
              <w:t xml:space="preserve">learners </w:t>
            </w:r>
            <w:r>
              <w:t xml:space="preserve"> &amp;</w:t>
            </w:r>
            <w:proofErr w:type="gramEnd"/>
            <w:r w:rsidR="002C7097">
              <w:t xml:space="preserve"> gives a</w:t>
            </w:r>
            <w:r>
              <w:t xml:space="preserve"> brief overview</w:t>
            </w:r>
            <w:r w:rsidR="002C7097">
              <w:t xml:space="preserve"> of what will happen </w:t>
            </w:r>
            <w:proofErr w:type="gramStart"/>
            <w:r w:rsidR="002C7097">
              <w:t xml:space="preserve">next </w:t>
            </w:r>
            <w:r>
              <w:t xml:space="preserve"> (</w:t>
            </w:r>
            <w:proofErr w:type="gramEnd"/>
            <w:r>
              <w:t>e.g. we’ll take X minutes to debrief)</w:t>
            </w:r>
          </w:p>
          <w:p w14:paraId="4C4C0183" w14:textId="77777777" w:rsidR="00E13179" w:rsidRDefault="00E13179" w:rsidP="00030F62"/>
          <w:p w14:paraId="0A37156A" w14:textId="1B924AC0" w:rsidR="00E13179" w:rsidRDefault="00E13179" w:rsidP="00030F62">
            <w:r>
              <w:t>Touches back on Basic Assumption</w:t>
            </w:r>
          </w:p>
          <w:p w14:paraId="2A50381C" w14:textId="77777777" w:rsidR="002C7097" w:rsidRDefault="002C7097" w:rsidP="00030F62"/>
          <w:p w14:paraId="314F44CA" w14:textId="06349F1D" w:rsidR="002C7097" w:rsidRDefault="002C7097" w:rsidP="00030F62">
            <w:r>
              <w:t xml:space="preserve">Asks about learners’ feelings and validates their feelings </w:t>
            </w:r>
          </w:p>
          <w:p w14:paraId="05A9BD28" w14:textId="77777777" w:rsidR="00E13179" w:rsidRDefault="00E13179" w:rsidP="00030F62"/>
          <w:p w14:paraId="0E2A3B38" w14:textId="63DA401E" w:rsidR="00E13179" w:rsidRDefault="00E13179" w:rsidP="002B4135">
            <w:r>
              <w:t xml:space="preserve">Reviews topics and </w:t>
            </w:r>
            <w:proofErr w:type="gramStart"/>
            <w:r w:rsidR="002C7097">
              <w:t>asks</w:t>
            </w:r>
            <w:proofErr w:type="gramEnd"/>
            <w:r>
              <w:t xml:space="preserve"> “</w:t>
            </w:r>
            <w:r w:rsidRPr="002C7097">
              <w:t xml:space="preserve">Is there anything else you want to talk about?” </w:t>
            </w:r>
          </w:p>
        </w:tc>
        <w:tc>
          <w:tcPr>
            <w:tcW w:w="4176" w:type="dxa"/>
          </w:tcPr>
          <w:p w14:paraId="4B64795B" w14:textId="77777777" w:rsidR="00E13179" w:rsidRDefault="002B4135">
            <w:r>
              <w:t xml:space="preserve">Psychological safety must be </w:t>
            </w:r>
            <w:proofErr w:type="spellStart"/>
            <w:r>
              <w:t>maintined</w:t>
            </w:r>
            <w:proofErr w:type="spellEnd"/>
            <w:r>
              <w:t xml:space="preserve"> throughout the debriefing discussion.  Reminding learners about the process for debriefing, validating their feelings and touching on the Basic Assumption again can support continued psychological safety.  </w:t>
            </w:r>
          </w:p>
          <w:p w14:paraId="0B6813F5" w14:textId="77777777" w:rsidR="002B4135" w:rsidRDefault="002B4135"/>
          <w:p w14:paraId="4C8C2AD3" w14:textId="77777777" w:rsidR="002B4135" w:rsidRDefault="002B4135"/>
          <w:p w14:paraId="00E99125" w14:textId="77777777" w:rsidR="002B4135" w:rsidRDefault="002B4135"/>
          <w:p w14:paraId="7D297FE5" w14:textId="77777777" w:rsidR="002B4135" w:rsidRDefault="002B4135"/>
          <w:p w14:paraId="5ED1206F" w14:textId="0DC3B4C2" w:rsidR="002B4135" w:rsidRDefault="002B4135">
            <w:r>
              <w:t xml:space="preserve">Learner-centered debriefing ensures that the topics that are most urgent to the learners will be incorporated into the debriefing.  </w:t>
            </w:r>
          </w:p>
          <w:p w14:paraId="052E79F0" w14:textId="5DE06D3A" w:rsidR="002B4135" w:rsidRPr="00E13179" w:rsidRDefault="002B4135"/>
        </w:tc>
      </w:tr>
      <w:tr w:rsidR="000A0305" w14:paraId="3ED3DBDC" w14:textId="77777777" w:rsidTr="002C7097">
        <w:tc>
          <w:tcPr>
            <w:tcW w:w="1951" w:type="dxa"/>
          </w:tcPr>
          <w:p w14:paraId="423C4FE0" w14:textId="77777777" w:rsidR="000A0305" w:rsidRDefault="00E13179">
            <w:r>
              <w:t>Debriefing topics/questions</w:t>
            </w:r>
          </w:p>
          <w:p w14:paraId="3ABAE98A" w14:textId="096B225D" w:rsidR="00E13179" w:rsidRDefault="00E13179"/>
        </w:tc>
        <w:tc>
          <w:tcPr>
            <w:tcW w:w="3223" w:type="dxa"/>
          </w:tcPr>
          <w:p w14:paraId="0CA734CA" w14:textId="20D9D153" w:rsidR="007B28E0" w:rsidRDefault="00E13179" w:rsidP="00030F62">
            <w:r>
              <w:t xml:space="preserve">With each question, asks </w:t>
            </w:r>
            <w:r w:rsidR="00123C7F">
              <w:t>the learners</w:t>
            </w:r>
            <w:r>
              <w:t xml:space="preserve"> to share their thinking by asking</w:t>
            </w:r>
            <w:r w:rsidR="00947D20">
              <w:t xml:space="preserve"> questions like</w:t>
            </w:r>
            <w:r>
              <w:t>:</w:t>
            </w:r>
          </w:p>
          <w:p w14:paraId="46E2011C" w14:textId="0F49D362" w:rsidR="00E13179" w:rsidRPr="00947D20" w:rsidRDefault="00E13179" w:rsidP="00030F62">
            <w:pPr>
              <w:rPr>
                <w:i/>
                <w:iCs/>
              </w:rPr>
            </w:pPr>
            <w:r w:rsidRPr="00947D20">
              <w:rPr>
                <w:i/>
                <w:iCs/>
              </w:rPr>
              <w:t>“</w:t>
            </w:r>
            <w:r w:rsidR="00947D20">
              <w:rPr>
                <w:i/>
                <w:iCs/>
              </w:rPr>
              <w:t>Can you w</w:t>
            </w:r>
            <w:r w:rsidRPr="00947D20">
              <w:rPr>
                <w:i/>
                <w:iCs/>
              </w:rPr>
              <w:t>alk me through your thinking</w:t>
            </w:r>
            <w:r w:rsidR="00947D20">
              <w:rPr>
                <w:i/>
                <w:iCs/>
              </w:rPr>
              <w:t>?</w:t>
            </w:r>
            <w:r w:rsidRPr="00947D20">
              <w:rPr>
                <w:i/>
                <w:iCs/>
              </w:rPr>
              <w:t>”</w:t>
            </w:r>
          </w:p>
          <w:p w14:paraId="450412D9" w14:textId="56353B06" w:rsidR="00E13179" w:rsidRPr="00947D20" w:rsidRDefault="00E13179" w:rsidP="00030F62">
            <w:pPr>
              <w:rPr>
                <w:i/>
                <w:iCs/>
              </w:rPr>
            </w:pPr>
            <w:r w:rsidRPr="00947D20">
              <w:rPr>
                <w:i/>
                <w:iCs/>
              </w:rPr>
              <w:t>“What were your priorities?”</w:t>
            </w:r>
          </w:p>
          <w:p w14:paraId="7A00AED5" w14:textId="77777777" w:rsidR="00E13179" w:rsidRPr="00947D20" w:rsidRDefault="00E13179" w:rsidP="00030F62">
            <w:pPr>
              <w:rPr>
                <w:i/>
                <w:iCs/>
              </w:rPr>
            </w:pPr>
            <w:r w:rsidRPr="00947D20">
              <w:rPr>
                <w:i/>
                <w:iCs/>
              </w:rPr>
              <w:t xml:space="preserve">“What was your strategy” </w:t>
            </w:r>
          </w:p>
          <w:p w14:paraId="461DCA59" w14:textId="77777777" w:rsidR="00947D20" w:rsidRDefault="00947D20" w:rsidP="00030F62"/>
          <w:p w14:paraId="3FEDFE8D" w14:textId="77777777" w:rsidR="00E13179" w:rsidRDefault="00E13179" w:rsidP="00030F62"/>
          <w:p w14:paraId="24780983" w14:textId="73589419" w:rsidR="00E13179" w:rsidRDefault="00E13179" w:rsidP="00030F62"/>
        </w:tc>
        <w:tc>
          <w:tcPr>
            <w:tcW w:w="4176" w:type="dxa"/>
          </w:tcPr>
          <w:p w14:paraId="573C6F81" w14:textId="77777777" w:rsidR="00947D20" w:rsidRDefault="00947D20">
            <w:r>
              <w:t xml:space="preserve">These types of questions go beyond discussing the observable actions from the </w:t>
            </w:r>
            <w:proofErr w:type="gramStart"/>
            <w:r>
              <w:t>simulation, and</w:t>
            </w:r>
            <w:proofErr w:type="gramEnd"/>
            <w:r>
              <w:t xml:space="preserve"> deepen the conversation by asking learners to self-reflect on their thought processes.  </w:t>
            </w:r>
          </w:p>
          <w:p w14:paraId="2E570262" w14:textId="77777777" w:rsidR="00947D20" w:rsidRDefault="00947D20"/>
          <w:p w14:paraId="2C11B830" w14:textId="4DC9BD0E" w:rsidR="000A0305" w:rsidRPr="007F31FE" w:rsidRDefault="00947D20">
            <w:r>
              <w:t xml:space="preserve">The discussion involving the “6 things” also goes beyond the learners memorizing a list and asks them to discuss how they applied the concepts.   </w:t>
            </w:r>
          </w:p>
        </w:tc>
      </w:tr>
      <w:tr w:rsidR="000A0305" w14:paraId="7AE21FE9" w14:textId="77777777" w:rsidTr="002C7097">
        <w:tc>
          <w:tcPr>
            <w:tcW w:w="1951" w:type="dxa"/>
          </w:tcPr>
          <w:p w14:paraId="604D33DB" w14:textId="1527C1B7" w:rsidR="000A0305" w:rsidRDefault="006B5324">
            <w:r>
              <w:lastRenderedPageBreak/>
              <w:t>End of debriefing</w:t>
            </w:r>
          </w:p>
        </w:tc>
        <w:tc>
          <w:tcPr>
            <w:tcW w:w="3223" w:type="dxa"/>
          </w:tcPr>
          <w:p w14:paraId="21D8B407" w14:textId="77777777" w:rsidR="007B28E0" w:rsidRDefault="006B5324">
            <w:r>
              <w:t>Asks if learners have remaining questions</w:t>
            </w:r>
          </w:p>
          <w:p w14:paraId="589AE2B3" w14:textId="77777777" w:rsidR="006B5324" w:rsidRDefault="006B5324"/>
          <w:p w14:paraId="7D70D2C2" w14:textId="77777777" w:rsidR="00123C7F" w:rsidRDefault="00123C7F"/>
          <w:p w14:paraId="0BC1F47F" w14:textId="77777777" w:rsidR="006B5324" w:rsidRDefault="006B5324">
            <w:r>
              <w:t>Asks for take-away points</w:t>
            </w:r>
          </w:p>
          <w:p w14:paraId="60A65944" w14:textId="3CB9805D" w:rsidR="006B5324" w:rsidRDefault="006B5324"/>
        </w:tc>
        <w:tc>
          <w:tcPr>
            <w:tcW w:w="4176" w:type="dxa"/>
          </w:tcPr>
          <w:p w14:paraId="6F9368DD" w14:textId="77777777" w:rsidR="006B5324" w:rsidRDefault="00123C7F">
            <w:r>
              <w:t>Remains learner-centered by giving them the opportunity to ask questions.</w:t>
            </w:r>
          </w:p>
          <w:p w14:paraId="5857EC7C" w14:textId="77777777" w:rsidR="00123C7F" w:rsidRDefault="00123C7F"/>
          <w:p w14:paraId="3781071D" w14:textId="77777777" w:rsidR="00123C7F" w:rsidRDefault="00123C7F">
            <w:r>
              <w:t xml:space="preserve">Allows the learners to articulate future practice changes, which helps the learners connect learning in simulation with their clinical practice. </w:t>
            </w:r>
          </w:p>
          <w:p w14:paraId="68BB7771" w14:textId="274FB289" w:rsidR="00123C7F" w:rsidRDefault="00123C7F">
            <w:r>
              <w:t xml:space="preserve"> </w:t>
            </w:r>
          </w:p>
        </w:tc>
      </w:tr>
    </w:tbl>
    <w:p w14:paraId="3724C2F8" w14:textId="77777777" w:rsidR="000A0305" w:rsidRDefault="000A0305"/>
    <w:p w14:paraId="401B3DE2" w14:textId="77777777" w:rsidR="002C7097" w:rsidRDefault="002C7097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951"/>
        <w:gridCol w:w="3624"/>
        <w:gridCol w:w="3775"/>
      </w:tblGrid>
      <w:tr w:rsidR="00123C7F" w:rsidRPr="000A0305" w14:paraId="4398518D" w14:textId="77777777" w:rsidTr="00EE66A2">
        <w:tc>
          <w:tcPr>
            <w:tcW w:w="9350" w:type="dxa"/>
            <w:gridSpan w:val="3"/>
            <w:shd w:val="clear" w:color="auto" w:fill="A5C9EB" w:themeFill="text2" w:themeFillTint="40"/>
          </w:tcPr>
          <w:p w14:paraId="1FCC91BE" w14:textId="1A40A5B2" w:rsidR="00123C7F" w:rsidRDefault="00123C7F" w:rsidP="00417FF6">
            <w:pPr>
              <w:jc w:val="center"/>
              <w:rPr>
                <w:b/>
                <w:bCs/>
              </w:rPr>
            </w:pPr>
            <w:r w:rsidRPr="002C7097">
              <w:rPr>
                <w:b/>
                <w:bCs/>
                <w:i/>
                <w:iCs/>
              </w:rPr>
              <w:t xml:space="preserve">Opportunity </w:t>
            </w:r>
            <w:r>
              <w:rPr>
                <w:b/>
                <w:bCs/>
              </w:rPr>
              <w:t>Debriefing script &amp; teaching points</w:t>
            </w:r>
          </w:p>
          <w:p w14:paraId="05FFDB9A" w14:textId="77777777" w:rsidR="00123C7F" w:rsidRPr="000A0305" w:rsidRDefault="00123C7F" w:rsidP="00417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123C7F" w:rsidRPr="00E13179" w14:paraId="7EBD98B7" w14:textId="1C8314CB" w:rsidTr="00123C7F">
        <w:tc>
          <w:tcPr>
            <w:tcW w:w="1951" w:type="dxa"/>
          </w:tcPr>
          <w:p w14:paraId="6A700CC9" w14:textId="71439A61" w:rsidR="00123C7F" w:rsidRDefault="00123C7F" w:rsidP="00123C7F">
            <w:pPr>
              <w:rPr>
                <w:b/>
                <w:bCs/>
              </w:rPr>
            </w:pPr>
            <w:r>
              <w:t>Greeting and Reactions phase</w:t>
            </w:r>
          </w:p>
        </w:tc>
        <w:tc>
          <w:tcPr>
            <w:tcW w:w="3624" w:type="dxa"/>
          </w:tcPr>
          <w:p w14:paraId="316D1377" w14:textId="22BDFE96" w:rsidR="00123C7F" w:rsidRDefault="00123C7F" w:rsidP="00123C7F">
            <w:r>
              <w:t xml:space="preserve">Greets learners by asking them to sit down.  Does not provide an overview of what the debriefing will be like.  </w:t>
            </w:r>
          </w:p>
          <w:p w14:paraId="3FD33683" w14:textId="77777777" w:rsidR="00123C7F" w:rsidRDefault="00123C7F" w:rsidP="00123C7F"/>
          <w:p w14:paraId="1F8E8F3C" w14:textId="0E720EAE" w:rsidR="00123C7F" w:rsidRPr="00123C7F" w:rsidRDefault="00123C7F" w:rsidP="00123C7F">
            <w:r>
              <w:t>Focuses on what the learners forgot</w:t>
            </w:r>
          </w:p>
          <w:p w14:paraId="40908FB3" w14:textId="77777777" w:rsidR="00123C7F" w:rsidRDefault="00123C7F" w:rsidP="00123C7F">
            <w:pPr>
              <w:rPr>
                <w:b/>
                <w:bCs/>
              </w:rPr>
            </w:pPr>
          </w:p>
          <w:p w14:paraId="04E5AD35" w14:textId="77777777" w:rsidR="00123C7F" w:rsidRDefault="00123C7F" w:rsidP="00123C7F">
            <w:pPr>
              <w:rPr>
                <w:b/>
                <w:bCs/>
              </w:rPr>
            </w:pPr>
          </w:p>
          <w:p w14:paraId="3061E81E" w14:textId="77777777" w:rsidR="00123C7F" w:rsidRDefault="00123C7F" w:rsidP="00123C7F">
            <w:pPr>
              <w:rPr>
                <w:b/>
                <w:bCs/>
              </w:rPr>
            </w:pPr>
          </w:p>
          <w:p w14:paraId="601AAAED" w14:textId="77777777" w:rsidR="00123C7F" w:rsidRDefault="00123C7F" w:rsidP="00123C7F">
            <w:pPr>
              <w:rPr>
                <w:b/>
                <w:bCs/>
              </w:rPr>
            </w:pPr>
          </w:p>
          <w:p w14:paraId="26B10CF4" w14:textId="77777777" w:rsidR="00123C7F" w:rsidRDefault="00123C7F" w:rsidP="00123C7F">
            <w:pPr>
              <w:rPr>
                <w:b/>
                <w:bCs/>
              </w:rPr>
            </w:pPr>
          </w:p>
          <w:p w14:paraId="58BF1B9E" w14:textId="77777777" w:rsidR="00123C7F" w:rsidRDefault="00123C7F" w:rsidP="00123C7F">
            <w:pPr>
              <w:rPr>
                <w:b/>
                <w:bCs/>
              </w:rPr>
            </w:pPr>
          </w:p>
          <w:p w14:paraId="2750D471" w14:textId="77777777" w:rsidR="00123C7F" w:rsidRDefault="00123C7F" w:rsidP="00123C7F">
            <w:r>
              <w:t xml:space="preserve">The facilitator </w:t>
            </w:r>
            <w:r w:rsidRPr="00E13179">
              <w:t>ask</w:t>
            </w:r>
            <w:r>
              <w:t>s</w:t>
            </w:r>
            <w:r w:rsidRPr="00E13179">
              <w:t xml:space="preserve"> the</w:t>
            </w:r>
            <w:r>
              <w:t xml:space="preserve"> learners</w:t>
            </w:r>
            <w:r w:rsidRPr="00E13179">
              <w:t xml:space="preserve"> if they want to </w:t>
            </w:r>
            <w:r>
              <w:t>discuss any other topics.</w:t>
            </w:r>
          </w:p>
          <w:p w14:paraId="56F895A9" w14:textId="77777777" w:rsidR="00123C7F" w:rsidRDefault="00123C7F" w:rsidP="00123C7F"/>
          <w:p w14:paraId="1BFB6F0B" w14:textId="77777777" w:rsidR="00F12637" w:rsidRDefault="00F12637" w:rsidP="00123C7F"/>
          <w:p w14:paraId="7A32824C" w14:textId="17DFAA14" w:rsidR="00F12637" w:rsidRPr="00E13179" w:rsidRDefault="00F12637" w:rsidP="00123C7F">
            <w:r>
              <w:t>Asks about feelings</w:t>
            </w:r>
          </w:p>
        </w:tc>
        <w:tc>
          <w:tcPr>
            <w:tcW w:w="3775" w:type="dxa"/>
          </w:tcPr>
          <w:p w14:paraId="39CE833A" w14:textId="77777777" w:rsidR="00123C7F" w:rsidRDefault="00123C7F" w:rsidP="00123C7F">
            <w:r w:rsidRPr="00123C7F">
              <w:t>Does not seem very accessible or approachable.</w:t>
            </w:r>
          </w:p>
          <w:p w14:paraId="3BC7F467" w14:textId="77777777" w:rsidR="00123C7F" w:rsidRDefault="00123C7F" w:rsidP="00123C7F"/>
          <w:p w14:paraId="41CBD4DB" w14:textId="77777777" w:rsidR="00123C7F" w:rsidRDefault="00123C7F" w:rsidP="00123C7F"/>
          <w:p w14:paraId="13776FA0" w14:textId="77777777" w:rsidR="00123C7F" w:rsidRDefault="00123C7F" w:rsidP="00123C7F"/>
          <w:p w14:paraId="50BE8D09" w14:textId="77777777" w:rsidR="00123C7F" w:rsidRDefault="00123C7F" w:rsidP="00123C7F">
            <w:r>
              <w:t>May discourage participation in the subsequent discussions, as learners may fear being shamed for their mistakes.</w:t>
            </w:r>
          </w:p>
          <w:p w14:paraId="50228F9F" w14:textId="77777777" w:rsidR="00123C7F" w:rsidRDefault="00123C7F" w:rsidP="00123C7F"/>
          <w:p w14:paraId="0963FF6A" w14:textId="77777777" w:rsidR="00123C7F" w:rsidRDefault="00123C7F" w:rsidP="00123C7F"/>
          <w:p w14:paraId="2581B858" w14:textId="77777777" w:rsidR="00123C7F" w:rsidRDefault="00123C7F" w:rsidP="00123C7F"/>
          <w:p w14:paraId="4C364715" w14:textId="77777777" w:rsidR="00123C7F" w:rsidRDefault="00123C7F" w:rsidP="00123C7F"/>
          <w:p w14:paraId="0ED669DC" w14:textId="77777777" w:rsidR="00123C7F" w:rsidRDefault="00123C7F" w:rsidP="00123C7F">
            <w:r>
              <w:t xml:space="preserve">This does demonstrate learner centeredness.  </w:t>
            </w:r>
          </w:p>
          <w:p w14:paraId="09437E21" w14:textId="77777777" w:rsidR="00F12637" w:rsidRDefault="00F12637" w:rsidP="00123C7F"/>
          <w:p w14:paraId="2B9EFF2E" w14:textId="77777777" w:rsidR="00F12637" w:rsidRDefault="00F12637" w:rsidP="00123C7F"/>
          <w:p w14:paraId="3F2B9778" w14:textId="77777777" w:rsidR="00F12637" w:rsidRDefault="00F12637" w:rsidP="00123C7F"/>
          <w:p w14:paraId="6BC16DB6" w14:textId="065EAB0B" w:rsidR="00F12637" w:rsidRPr="00123C7F" w:rsidRDefault="00F12637" w:rsidP="00123C7F">
            <w:r>
              <w:t>Does not validate or acknowledge their emotions</w:t>
            </w:r>
          </w:p>
        </w:tc>
      </w:tr>
      <w:tr w:rsidR="00123C7F" w14:paraId="59B6C491" w14:textId="769AC145" w:rsidTr="00123C7F">
        <w:tc>
          <w:tcPr>
            <w:tcW w:w="1951" w:type="dxa"/>
          </w:tcPr>
          <w:p w14:paraId="49866A35" w14:textId="77777777" w:rsidR="00123C7F" w:rsidRDefault="00123C7F" w:rsidP="00123C7F">
            <w:r>
              <w:t>Debriefing topics/questions</w:t>
            </w:r>
          </w:p>
          <w:p w14:paraId="1BE1F167" w14:textId="77777777" w:rsidR="00123C7F" w:rsidRDefault="00123C7F" w:rsidP="00123C7F"/>
        </w:tc>
        <w:tc>
          <w:tcPr>
            <w:tcW w:w="3624" w:type="dxa"/>
          </w:tcPr>
          <w:p w14:paraId="3CC54F9F" w14:textId="77777777" w:rsidR="00F12637" w:rsidRPr="00123C7F" w:rsidRDefault="00F12637" w:rsidP="00F12637">
            <w:r w:rsidRPr="00123C7F">
              <w:t>Asks the question:</w:t>
            </w:r>
            <w:r>
              <w:rPr>
                <w:b/>
                <w:bCs/>
              </w:rPr>
              <w:t xml:space="preserve"> </w:t>
            </w:r>
            <w:r w:rsidRPr="006B5324">
              <w:rPr>
                <w:b/>
                <w:bCs/>
              </w:rPr>
              <w:t>“</w:t>
            </w:r>
            <w:r w:rsidRPr="00123C7F">
              <w:t xml:space="preserve">How did you watch out for each other?” </w:t>
            </w:r>
          </w:p>
          <w:p w14:paraId="788C6864" w14:textId="77777777" w:rsidR="00F12637" w:rsidRDefault="00F12637" w:rsidP="00F12637"/>
          <w:p w14:paraId="223F4400" w14:textId="77777777" w:rsidR="00F12637" w:rsidRDefault="00F12637" w:rsidP="00F12637"/>
          <w:p w14:paraId="291423A1" w14:textId="77777777" w:rsidR="00F12637" w:rsidRDefault="00F12637" w:rsidP="00F12637"/>
          <w:p w14:paraId="2C1D654C" w14:textId="77777777" w:rsidR="00F12637" w:rsidRDefault="00F12637" w:rsidP="00F12637"/>
          <w:p w14:paraId="0FF01F62" w14:textId="77777777" w:rsidR="00F12637" w:rsidRDefault="00F12637" w:rsidP="00F12637"/>
          <w:p w14:paraId="4A988F1A" w14:textId="0A5203B3" w:rsidR="00123C7F" w:rsidRDefault="00F12637" w:rsidP="00123C7F">
            <w:r>
              <w:t xml:space="preserve">The facilitator mentions that they had the opportunity to apply nursing actions, and follows with </w:t>
            </w:r>
            <w:r>
              <w:lastRenderedPageBreak/>
              <w:t xml:space="preserve">the question: </w:t>
            </w:r>
            <w:r w:rsidRPr="00123C7F">
              <w:t xml:space="preserve">“How did that feel?” </w:t>
            </w:r>
            <w:r>
              <w:t xml:space="preserve">-  </w:t>
            </w:r>
          </w:p>
        </w:tc>
        <w:tc>
          <w:tcPr>
            <w:tcW w:w="3775" w:type="dxa"/>
          </w:tcPr>
          <w:p w14:paraId="6A2EE37F" w14:textId="6686299F" w:rsidR="00F12637" w:rsidRDefault="00F12637" w:rsidP="00F12637">
            <w:r>
              <w:lastRenderedPageBreak/>
              <w:t>The facilitator’s focus is only on the actions, not the thinking behind them</w:t>
            </w:r>
            <w:r>
              <w:t xml:space="preserve">.  The learners describe what they did.  </w:t>
            </w:r>
          </w:p>
          <w:p w14:paraId="3D54C6D0" w14:textId="77777777" w:rsidR="00F12637" w:rsidRDefault="00F12637" w:rsidP="00F12637"/>
          <w:p w14:paraId="79539692" w14:textId="77777777" w:rsidR="00F12637" w:rsidRDefault="00F12637" w:rsidP="00F12637"/>
          <w:p w14:paraId="06A35DFB" w14:textId="77777777" w:rsidR="00F12637" w:rsidRDefault="00F12637" w:rsidP="00F12637"/>
          <w:p w14:paraId="29F57252" w14:textId="06F9AF00" w:rsidR="00123C7F" w:rsidRDefault="00F12637" w:rsidP="00123C7F">
            <w:r>
              <w:t xml:space="preserve">There is no observation about their practice or feedback from </w:t>
            </w:r>
            <w:r>
              <w:t>the facilitator</w:t>
            </w:r>
            <w:r>
              <w:t xml:space="preserve">; there is no exploration of thought processes.  </w:t>
            </w:r>
            <w:r>
              <w:lastRenderedPageBreak/>
              <w:t xml:space="preserve">“How did that feel” is a question about emotions.  </w:t>
            </w:r>
          </w:p>
        </w:tc>
      </w:tr>
      <w:tr w:rsidR="00123C7F" w:rsidRPr="007F31FE" w14:paraId="776225A1" w14:textId="482F902D" w:rsidTr="00123C7F">
        <w:tc>
          <w:tcPr>
            <w:tcW w:w="1951" w:type="dxa"/>
          </w:tcPr>
          <w:p w14:paraId="270E101A" w14:textId="44A54D8B" w:rsidR="00123C7F" w:rsidRDefault="00123C7F" w:rsidP="00123C7F">
            <w:r>
              <w:lastRenderedPageBreak/>
              <w:t>End of debriefing</w:t>
            </w:r>
          </w:p>
        </w:tc>
        <w:tc>
          <w:tcPr>
            <w:tcW w:w="3624" w:type="dxa"/>
          </w:tcPr>
          <w:p w14:paraId="042BC2CD" w14:textId="77777777" w:rsidR="00F12637" w:rsidRDefault="00F12637" w:rsidP="00F12637">
            <w:r>
              <w:t>Focus in on the “list of 6 things” &amp; their need to memorize and come back next week ready to recite them.</w:t>
            </w:r>
          </w:p>
          <w:p w14:paraId="565B8436" w14:textId="77777777" w:rsidR="00F12637" w:rsidRDefault="00F12637" w:rsidP="00F12637"/>
          <w:p w14:paraId="66787A90" w14:textId="295ECC31" w:rsidR="00F12637" w:rsidRDefault="00F12637" w:rsidP="00F12637">
            <w:r>
              <w:t xml:space="preserve">There was not a question about “take-aways” </w:t>
            </w:r>
          </w:p>
          <w:p w14:paraId="7B39E70F" w14:textId="77777777" w:rsidR="00123C7F" w:rsidRPr="007F31FE" w:rsidRDefault="00123C7F" w:rsidP="00123C7F"/>
        </w:tc>
        <w:tc>
          <w:tcPr>
            <w:tcW w:w="3775" w:type="dxa"/>
          </w:tcPr>
          <w:p w14:paraId="5ACA6EE5" w14:textId="77777777" w:rsidR="00123C7F" w:rsidRDefault="00123C7F" w:rsidP="00123C7F"/>
          <w:p w14:paraId="4CAA1FB2" w14:textId="23F02D19" w:rsidR="00123C7F" w:rsidRDefault="00F12637" w:rsidP="00123C7F">
            <w:r>
              <w:t xml:space="preserve">It is unclear what, if anything, the learners are taking away from this simulation experience.  The facilitator is focused on memorization, not on application or competency.  </w:t>
            </w:r>
          </w:p>
          <w:p w14:paraId="63BAE6C3" w14:textId="0B605750" w:rsidR="00123C7F" w:rsidRDefault="00123C7F" w:rsidP="00123C7F"/>
        </w:tc>
      </w:tr>
    </w:tbl>
    <w:p w14:paraId="5BBA1203" w14:textId="77777777" w:rsidR="002C7097" w:rsidRDefault="002C7097"/>
    <w:sectPr w:rsidR="002C7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C5B7A"/>
    <w:multiLevelType w:val="multilevel"/>
    <w:tmpl w:val="3464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505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D2"/>
    <w:rsid w:val="000005D8"/>
    <w:rsid w:val="00000755"/>
    <w:rsid w:val="000232C4"/>
    <w:rsid w:val="00030F62"/>
    <w:rsid w:val="000507A7"/>
    <w:rsid w:val="00052B40"/>
    <w:rsid w:val="00073BC9"/>
    <w:rsid w:val="00077495"/>
    <w:rsid w:val="00081CEE"/>
    <w:rsid w:val="00083646"/>
    <w:rsid w:val="00096EDE"/>
    <w:rsid w:val="00097C4D"/>
    <w:rsid w:val="000A0305"/>
    <w:rsid w:val="000A3906"/>
    <w:rsid w:val="000B686E"/>
    <w:rsid w:val="000C08C5"/>
    <w:rsid w:val="00100EDD"/>
    <w:rsid w:val="00110C41"/>
    <w:rsid w:val="001125C9"/>
    <w:rsid w:val="00123C7F"/>
    <w:rsid w:val="00130908"/>
    <w:rsid w:val="001352DF"/>
    <w:rsid w:val="00141EF7"/>
    <w:rsid w:val="00151426"/>
    <w:rsid w:val="00172767"/>
    <w:rsid w:val="001A48DA"/>
    <w:rsid w:val="001A4B20"/>
    <w:rsid w:val="001A639A"/>
    <w:rsid w:val="001A729F"/>
    <w:rsid w:val="001C7471"/>
    <w:rsid w:val="001F442F"/>
    <w:rsid w:val="001F5D87"/>
    <w:rsid w:val="002001E0"/>
    <w:rsid w:val="00202DBD"/>
    <w:rsid w:val="0020733C"/>
    <w:rsid w:val="00207BD2"/>
    <w:rsid w:val="00226724"/>
    <w:rsid w:val="00227A5C"/>
    <w:rsid w:val="002353F5"/>
    <w:rsid w:val="00251241"/>
    <w:rsid w:val="002741AE"/>
    <w:rsid w:val="002814D3"/>
    <w:rsid w:val="0028759B"/>
    <w:rsid w:val="002B4135"/>
    <w:rsid w:val="002B7A72"/>
    <w:rsid w:val="002C1AD2"/>
    <w:rsid w:val="002C7097"/>
    <w:rsid w:val="002D0ED6"/>
    <w:rsid w:val="002D4B42"/>
    <w:rsid w:val="00312924"/>
    <w:rsid w:val="00325028"/>
    <w:rsid w:val="0033058F"/>
    <w:rsid w:val="0033235D"/>
    <w:rsid w:val="00345715"/>
    <w:rsid w:val="00346701"/>
    <w:rsid w:val="00346721"/>
    <w:rsid w:val="00376598"/>
    <w:rsid w:val="003811E2"/>
    <w:rsid w:val="003A3180"/>
    <w:rsid w:val="003C4E2F"/>
    <w:rsid w:val="003D7D64"/>
    <w:rsid w:val="003F1C05"/>
    <w:rsid w:val="00410FD1"/>
    <w:rsid w:val="00413ECF"/>
    <w:rsid w:val="00422728"/>
    <w:rsid w:val="004A1082"/>
    <w:rsid w:val="004C64B7"/>
    <w:rsid w:val="004C6C20"/>
    <w:rsid w:val="004F1493"/>
    <w:rsid w:val="00550911"/>
    <w:rsid w:val="00554F75"/>
    <w:rsid w:val="00557502"/>
    <w:rsid w:val="00566710"/>
    <w:rsid w:val="005C1271"/>
    <w:rsid w:val="005C4A18"/>
    <w:rsid w:val="005D142D"/>
    <w:rsid w:val="005E5DE5"/>
    <w:rsid w:val="00600444"/>
    <w:rsid w:val="00610F14"/>
    <w:rsid w:val="00675E4E"/>
    <w:rsid w:val="006B5324"/>
    <w:rsid w:val="006C459F"/>
    <w:rsid w:val="006E37D6"/>
    <w:rsid w:val="006E3D98"/>
    <w:rsid w:val="006E7088"/>
    <w:rsid w:val="006F7CBB"/>
    <w:rsid w:val="007032D0"/>
    <w:rsid w:val="00704D01"/>
    <w:rsid w:val="00725524"/>
    <w:rsid w:val="007644ED"/>
    <w:rsid w:val="00767F9F"/>
    <w:rsid w:val="00783E1E"/>
    <w:rsid w:val="007B28E0"/>
    <w:rsid w:val="007B6519"/>
    <w:rsid w:val="007C4BCA"/>
    <w:rsid w:val="007C71EB"/>
    <w:rsid w:val="007E0E4C"/>
    <w:rsid w:val="007F31FE"/>
    <w:rsid w:val="00807EE9"/>
    <w:rsid w:val="008149B3"/>
    <w:rsid w:val="00836B14"/>
    <w:rsid w:val="00863A23"/>
    <w:rsid w:val="008A1A37"/>
    <w:rsid w:val="008A4A35"/>
    <w:rsid w:val="008B6A79"/>
    <w:rsid w:val="008D182B"/>
    <w:rsid w:val="008E64E7"/>
    <w:rsid w:val="008E70DB"/>
    <w:rsid w:val="00924DF5"/>
    <w:rsid w:val="00927EE1"/>
    <w:rsid w:val="00933126"/>
    <w:rsid w:val="00945BA2"/>
    <w:rsid w:val="00947D20"/>
    <w:rsid w:val="00962AA0"/>
    <w:rsid w:val="0096300F"/>
    <w:rsid w:val="009759AC"/>
    <w:rsid w:val="00976BB7"/>
    <w:rsid w:val="00981D28"/>
    <w:rsid w:val="009A03E7"/>
    <w:rsid w:val="009B688B"/>
    <w:rsid w:val="009C2292"/>
    <w:rsid w:val="009F2795"/>
    <w:rsid w:val="009F2A91"/>
    <w:rsid w:val="009F6A7A"/>
    <w:rsid w:val="00A20963"/>
    <w:rsid w:val="00A24B5B"/>
    <w:rsid w:val="00A3025B"/>
    <w:rsid w:val="00A440A7"/>
    <w:rsid w:val="00A44A81"/>
    <w:rsid w:val="00A479E3"/>
    <w:rsid w:val="00A65697"/>
    <w:rsid w:val="00A71F35"/>
    <w:rsid w:val="00AA460A"/>
    <w:rsid w:val="00AB6F18"/>
    <w:rsid w:val="00AD258E"/>
    <w:rsid w:val="00AE1DAD"/>
    <w:rsid w:val="00AE58CB"/>
    <w:rsid w:val="00AF2B86"/>
    <w:rsid w:val="00B20531"/>
    <w:rsid w:val="00B32FF5"/>
    <w:rsid w:val="00B43D22"/>
    <w:rsid w:val="00B60EAE"/>
    <w:rsid w:val="00B77D1F"/>
    <w:rsid w:val="00BA3F08"/>
    <w:rsid w:val="00BC7EFC"/>
    <w:rsid w:val="00BD0430"/>
    <w:rsid w:val="00BE0C6D"/>
    <w:rsid w:val="00BE1587"/>
    <w:rsid w:val="00C207A0"/>
    <w:rsid w:val="00C35E06"/>
    <w:rsid w:val="00C42BE0"/>
    <w:rsid w:val="00C821AF"/>
    <w:rsid w:val="00C82D4C"/>
    <w:rsid w:val="00C91B55"/>
    <w:rsid w:val="00CA19D2"/>
    <w:rsid w:val="00CA2604"/>
    <w:rsid w:val="00CB6264"/>
    <w:rsid w:val="00CD07E6"/>
    <w:rsid w:val="00D21C47"/>
    <w:rsid w:val="00D27171"/>
    <w:rsid w:val="00D31573"/>
    <w:rsid w:val="00D35B7F"/>
    <w:rsid w:val="00D550AE"/>
    <w:rsid w:val="00D71476"/>
    <w:rsid w:val="00D77846"/>
    <w:rsid w:val="00D77B4E"/>
    <w:rsid w:val="00DD7E5F"/>
    <w:rsid w:val="00DF0F2F"/>
    <w:rsid w:val="00E048F7"/>
    <w:rsid w:val="00E13179"/>
    <w:rsid w:val="00E31433"/>
    <w:rsid w:val="00E33CAC"/>
    <w:rsid w:val="00E37B20"/>
    <w:rsid w:val="00E432D0"/>
    <w:rsid w:val="00E4765B"/>
    <w:rsid w:val="00E50183"/>
    <w:rsid w:val="00E510E4"/>
    <w:rsid w:val="00EB5C0F"/>
    <w:rsid w:val="00EC0512"/>
    <w:rsid w:val="00EC0E07"/>
    <w:rsid w:val="00ED5BBA"/>
    <w:rsid w:val="00F12637"/>
    <w:rsid w:val="00F30396"/>
    <w:rsid w:val="00F373AF"/>
    <w:rsid w:val="00F54FCA"/>
    <w:rsid w:val="00F95698"/>
    <w:rsid w:val="00FB245C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7AA8C"/>
  <w15:chartTrackingRefBased/>
  <w15:docId w15:val="{53BD1EAE-FF49-3741-9A54-C9202B2D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A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A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A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A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1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A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A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A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A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0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Fey</dc:creator>
  <cp:keywords/>
  <dc:description/>
  <cp:lastModifiedBy>Mary Fey</cp:lastModifiedBy>
  <cp:revision>3</cp:revision>
  <dcterms:created xsi:type="dcterms:W3CDTF">2024-12-03T02:35:00Z</dcterms:created>
  <dcterms:modified xsi:type="dcterms:W3CDTF">2025-06-23T22:24:00Z</dcterms:modified>
</cp:coreProperties>
</file>