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F93" w14:textId="0544796F" w:rsidR="00EC0512" w:rsidRDefault="000A0305" w:rsidP="004976CB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4976CB">
        <w:rPr>
          <w:b/>
          <w:bCs/>
          <w:sz w:val="28"/>
          <w:szCs w:val="28"/>
          <w:u w:val="single"/>
        </w:rPr>
        <w:t>Prebriefing</w:t>
      </w:r>
      <w:proofErr w:type="spellEnd"/>
    </w:p>
    <w:p w14:paraId="12334B1E" w14:textId="77777777" w:rsidR="004976CB" w:rsidRPr="004976CB" w:rsidRDefault="004976CB" w:rsidP="004976CB">
      <w:pPr>
        <w:jc w:val="center"/>
        <w:rPr>
          <w:b/>
          <w:bCs/>
          <w:sz w:val="28"/>
          <w:szCs w:val="28"/>
          <w:u w:val="single"/>
        </w:rPr>
      </w:pPr>
    </w:p>
    <w:p w14:paraId="77590F28" w14:textId="2EA777BB" w:rsidR="004976CB" w:rsidRDefault="002F30A9" w:rsidP="004976CB">
      <w:pPr>
        <w:pStyle w:val="Heading4"/>
        <w:shd w:val="clear" w:color="auto" w:fill="FFFFFF"/>
        <w:spacing w:before="0" w:after="0"/>
        <w:ind w:hanging="720"/>
        <w:jc w:val="both"/>
      </w:pPr>
      <w:r>
        <w:t>Reference</w:t>
      </w:r>
      <w:r w:rsidR="004976CB">
        <w:t>s</w:t>
      </w:r>
      <w:r>
        <w:t xml:space="preserve">:  </w:t>
      </w:r>
    </w:p>
    <w:p w14:paraId="36B25D95" w14:textId="07FFB1EA" w:rsidR="002F30A9" w:rsidRDefault="002F30A9" w:rsidP="004976CB">
      <w:pPr>
        <w:pStyle w:val="Heading4"/>
        <w:shd w:val="clear" w:color="auto" w:fill="FFFFFF"/>
        <w:spacing w:before="0" w:after="0"/>
        <w:ind w:hanging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Healthcare Simulation Standards of Best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Practice</w:t>
      </w:r>
      <w:r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TM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Prebriefing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: Preparation and Briefing</w:t>
      </w:r>
    </w:p>
    <w:p w14:paraId="73BCEBCD" w14:textId="77777777" w:rsidR="002F30A9" w:rsidRDefault="002F30A9" w:rsidP="004976CB">
      <w:pPr>
        <w:shd w:val="clear" w:color="auto" w:fill="FFFFFF"/>
        <w:ind w:left="360" w:hanging="720"/>
        <w:jc w:val="both"/>
        <w:rPr>
          <w:rFonts w:ascii="Helvetica Neue" w:hAnsi="Helvetica Neue" w:cs="Times New Roman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>McDermott, Donna S. et al.</w:t>
      </w:r>
    </w:p>
    <w:p w14:paraId="31AF0D09" w14:textId="325D14EF" w:rsidR="002F30A9" w:rsidRDefault="002F30A9" w:rsidP="004976CB">
      <w:pPr>
        <w:shd w:val="clear" w:color="auto" w:fill="FFFFFF"/>
        <w:ind w:left="360" w:hanging="720"/>
        <w:jc w:val="both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 xml:space="preserve">Clinical Simulation </w:t>
      </w:r>
      <w:proofErr w:type="gramStart"/>
      <w:r>
        <w:rPr>
          <w:rFonts w:ascii="Helvetica Neue" w:hAnsi="Helvetica Neue"/>
          <w:color w:val="333333"/>
          <w:sz w:val="18"/>
          <w:szCs w:val="18"/>
        </w:rPr>
        <w:t>In</w:t>
      </w:r>
      <w:proofErr w:type="gramEnd"/>
      <w:r>
        <w:rPr>
          <w:rFonts w:ascii="Helvetica Neue" w:hAnsi="Helvetica Neue"/>
          <w:color w:val="333333"/>
          <w:sz w:val="18"/>
          <w:szCs w:val="18"/>
        </w:rPr>
        <w:t xml:space="preserve"> Nursing, Volume 58, 9 </w:t>
      </w:r>
      <w:r w:rsidR="004976CB">
        <w:rPr>
          <w:rFonts w:ascii="Helvetica Neue" w:hAnsi="Helvetica Neue"/>
          <w:color w:val="333333"/>
          <w:sz w:val="18"/>
          <w:szCs w:val="18"/>
        </w:rPr>
        <w:t>–</w:t>
      </w:r>
      <w:r>
        <w:rPr>
          <w:rFonts w:ascii="Helvetica Neue" w:hAnsi="Helvetica Neue"/>
          <w:color w:val="333333"/>
          <w:sz w:val="18"/>
          <w:szCs w:val="18"/>
        </w:rPr>
        <w:t xml:space="preserve"> 13</w:t>
      </w:r>
    </w:p>
    <w:p w14:paraId="257C9E45" w14:textId="77777777" w:rsidR="004976CB" w:rsidRDefault="004976CB" w:rsidP="004976CB">
      <w:pPr>
        <w:shd w:val="clear" w:color="auto" w:fill="FFFFFF"/>
        <w:ind w:hanging="720"/>
        <w:jc w:val="both"/>
        <w:rPr>
          <w:rFonts w:ascii="Helvetica Neue" w:hAnsi="Helvetica Neue"/>
          <w:color w:val="333333"/>
          <w:sz w:val="18"/>
          <w:szCs w:val="18"/>
        </w:rPr>
      </w:pPr>
    </w:p>
    <w:p w14:paraId="016E3A2B" w14:textId="77777777" w:rsidR="004976CB" w:rsidRDefault="004976CB" w:rsidP="004976CB">
      <w:pPr>
        <w:pStyle w:val="Heading4"/>
        <w:shd w:val="clear" w:color="auto" w:fill="FFFFFF"/>
        <w:spacing w:before="0" w:after="0"/>
        <w:ind w:hanging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Healthcare Simulation Standards of Best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Practice</w:t>
      </w:r>
      <w:r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TM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Facilitation</w:t>
      </w:r>
    </w:p>
    <w:p w14:paraId="7CBA38BE" w14:textId="77777777" w:rsidR="004976CB" w:rsidRDefault="004976CB" w:rsidP="004976CB">
      <w:pPr>
        <w:shd w:val="clear" w:color="auto" w:fill="FFFFFF"/>
        <w:ind w:left="360" w:hanging="720"/>
        <w:jc w:val="both"/>
        <w:rPr>
          <w:rFonts w:ascii="Helvetica Neue" w:hAnsi="Helvetica Neue" w:cs="Times New Roman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>Persico, Lori et al.</w:t>
      </w:r>
    </w:p>
    <w:p w14:paraId="0F1FC8EA" w14:textId="77777777" w:rsidR="004976CB" w:rsidRDefault="004976CB" w:rsidP="004976CB">
      <w:pPr>
        <w:shd w:val="clear" w:color="auto" w:fill="FFFFFF"/>
        <w:ind w:left="360" w:hanging="720"/>
        <w:jc w:val="both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 xml:space="preserve">Clinical Simulation </w:t>
      </w:r>
      <w:proofErr w:type="gramStart"/>
      <w:r>
        <w:rPr>
          <w:rFonts w:ascii="Helvetica Neue" w:hAnsi="Helvetica Neue"/>
          <w:color w:val="333333"/>
          <w:sz w:val="18"/>
          <w:szCs w:val="18"/>
        </w:rPr>
        <w:t>In</w:t>
      </w:r>
      <w:proofErr w:type="gramEnd"/>
      <w:r>
        <w:rPr>
          <w:rFonts w:ascii="Helvetica Neue" w:hAnsi="Helvetica Neue"/>
          <w:color w:val="333333"/>
          <w:sz w:val="18"/>
          <w:szCs w:val="18"/>
        </w:rPr>
        <w:t xml:space="preserve"> Nursing, Volume 58, 22 - 26</w:t>
      </w:r>
    </w:p>
    <w:p w14:paraId="1B8DBFFF" w14:textId="77777777" w:rsidR="004976CB" w:rsidRDefault="004976CB"/>
    <w:p w14:paraId="48D3D1C3" w14:textId="77777777" w:rsidR="000A0305" w:rsidRDefault="000A030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355"/>
        <w:gridCol w:w="3461"/>
        <w:gridCol w:w="5259"/>
      </w:tblGrid>
      <w:tr w:rsidR="00135A86" w:rsidRPr="000A0305" w14:paraId="208C4F25" w14:textId="77777777" w:rsidTr="00135A86">
        <w:tc>
          <w:tcPr>
            <w:tcW w:w="10075" w:type="dxa"/>
            <w:gridSpan w:val="3"/>
            <w:shd w:val="clear" w:color="auto" w:fill="A5C9EB" w:themeFill="text2" w:themeFillTint="40"/>
          </w:tcPr>
          <w:p w14:paraId="2B2F7CAF" w14:textId="07E75526" w:rsidR="00135A86" w:rsidRDefault="004976CB" w:rsidP="000A0305">
            <w:pPr>
              <w:jc w:val="center"/>
              <w:rPr>
                <w:b/>
                <w:bCs/>
              </w:rPr>
            </w:pPr>
            <w:r w:rsidRPr="004976CB">
              <w:rPr>
                <w:b/>
                <w:bCs/>
                <w:i/>
                <w:iCs/>
              </w:rPr>
              <w:t>Success</w:t>
            </w:r>
            <w:r>
              <w:rPr>
                <w:b/>
                <w:bCs/>
              </w:rPr>
              <w:t xml:space="preserve"> </w:t>
            </w:r>
            <w:proofErr w:type="spellStart"/>
            <w:r w:rsidR="00135A86">
              <w:rPr>
                <w:b/>
                <w:bCs/>
              </w:rPr>
              <w:t>Prebriefing</w:t>
            </w:r>
            <w:proofErr w:type="spellEnd"/>
            <w:r w:rsidR="00135A86">
              <w:rPr>
                <w:b/>
                <w:bCs/>
              </w:rPr>
              <w:t xml:space="preserve"> script &amp; teaching points</w:t>
            </w:r>
          </w:p>
          <w:p w14:paraId="20E2315C" w14:textId="5C7FBAD6" w:rsidR="00135A86" w:rsidRPr="000A0305" w:rsidRDefault="00135A86" w:rsidP="000A0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35A86" w:rsidRPr="000A0305" w14:paraId="7311D521" w14:textId="481B4B7F" w:rsidTr="00135A86">
        <w:tc>
          <w:tcPr>
            <w:tcW w:w="1355" w:type="dxa"/>
          </w:tcPr>
          <w:p w14:paraId="3CD18C75" w14:textId="77777777" w:rsidR="00135A86" w:rsidRPr="000A0305" w:rsidRDefault="00135A86" w:rsidP="000A0305">
            <w:pPr>
              <w:jc w:val="center"/>
              <w:rPr>
                <w:b/>
                <w:bCs/>
              </w:rPr>
            </w:pPr>
          </w:p>
        </w:tc>
        <w:tc>
          <w:tcPr>
            <w:tcW w:w="3461" w:type="dxa"/>
          </w:tcPr>
          <w:p w14:paraId="201900F9" w14:textId="6B8952C4" w:rsidR="00135A86" w:rsidRDefault="00135A86" w:rsidP="000A0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Dialogue </w:t>
            </w:r>
          </w:p>
          <w:p w14:paraId="3D1DD1FD" w14:textId="686A4FC6" w:rsidR="00135A86" w:rsidRPr="000A0305" w:rsidRDefault="00135A86" w:rsidP="000A0305">
            <w:pPr>
              <w:jc w:val="center"/>
              <w:rPr>
                <w:b/>
                <w:bCs/>
              </w:rPr>
            </w:pPr>
          </w:p>
        </w:tc>
        <w:tc>
          <w:tcPr>
            <w:tcW w:w="5259" w:type="dxa"/>
          </w:tcPr>
          <w:p w14:paraId="5A2C1104" w14:textId="2E50EDE5" w:rsidR="00135A86" w:rsidRPr="000A0305" w:rsidRDefault="00135A86" w:rsidP="000A0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4976CB" w14:paraId="72825140" w14:textId="77777777" w:rsidTr="00417FF6">
        <w:tc>
          <w:tcPr>
            <w:tcW w:w="1355" w:type="dxa"/>
          </w:tcPr>
          <w:p w14:paraId="565F5CC8" w14:textId="77777777" w:rsidR="004976CB" w:rsidRDefault="004976CB" w:rsidP="00417FF6">
            <w:r>
              <w:t>Non-</w:t>
            </w:r>
            <w:proofErr w:type="spellStart"/>
            <w:r>
              <w:t>verbals</w:t>
            </w:r>
            <w:proofErr w:type="spellEnd"/>
          </w:p>
        </w:tc>
        <w:tc>
          <w:tcPr>
            <w:tcW w:w="3461" w:type="dxa"/>
          </w:tcPr>
          <w:p w14:paraId="23774C6F" w14:textId="77777777" w:rsidR="004976CB" w:rsidRDefault="004976CB" w:rsidP="00417FF6">
            <w:r>
              <w:t>Seated, smiling, use of humor</w:t>
            </w:r>
          </w:p>
        </w:tc>
        <w:tc>
          <w:tcPr>
            <w:tcW w:w="5259" w:type="dxa"/>
          </w:tcPr>
          <w:p w14:paraId="32BC07C1" w14:textId="77777777" w:rsidR="004976CB" w:rsidRDefault="004976CB" w:rsidP="00417FF6"/>
        </w:tc>
      </w:tr>
      <w:tr w:rsidR="00135A86" w14:paraId="63088E34" w14:textId="6795A409" w:rsidTr="00135A86">
        <w:tc>
          <w:tcPr>
            <w:tcW w:w="1355" w:type="dxa"/>
          </w:tcPr>
          <w:p w14:paraId="60AF4658" w14:textId="5F3706B2" w:rsidR="00135A86" w:rsidRDefault="00135A86">
            <w:r>
              <w:t>Greeting</w:t>
            </w:r>
          </w:p>
        </w:tc>
        <w:tc>
          <w:tcPr>
            <w:tcW w:w="3461" w:type="dxa"/>
          </w:tcPr>
          <w:p w14:paraId="6E469BD1" w14:textId="0F360D25" w:rsidR="00135A86" w:rsidRDefault="00135A86">
            <w:r>
              <w:t>“Glad you’re here today”</w:t>
            </w:r>
          </w:p>
          <w:p w14:paraId="67535676" w14:textId="77777777" w:rsidR="00135A86" w:rsidRDefault="00135A86"/>
          <w:p w14:paraId="0E2A3B38" w14:textId="74A62803" w:rsidR="00135A86" w:rsidRDefault="00135A86">
            <w:r>
              <w:t>Curious to get to know the learners</w:t>
            </w:r>
          </w:p>
        </w:tc>
        <w:tc>
          <w:tcPr>
            <w:tcW w:w="5259" w:type="dxa"/>
          </w:tcPr>
          <w:p w14:paraId="11F9E116" w14:textId="77777777" w:rsidR="00135A86" w:rsidRDefault="00135A86">
            <w:r>
              <w:t xml:space="preserve">Creating psychological safety is primary to a successful simulation-based education session.  </w:t>
            </w:r>
          </w:p>
          <w:p w14:paraId="461FE463" w14:textId="77777777" w:rsidR="00135A86" w:rsidRDefault="00135A86"/>
          <w:p w14:paraId="51BCFA38" w14:textId="52B4F871" w:rsidR="00135A86" w:rsidRDefault="002F30A9">
            <w:r>
              <w:t xml:space="preserve">Creating positive rapport with learners can promote psychological safety.  Being accessible and approachable contributes to trust in the teacher-learner relationship. </w:t>
            </w:r>
          </w:p>
          <w:p w14:paraId="72C2E873" w14:textId="6EC345C2" w:rsidR="002F30A9" w:rsidRDefault="002F30A9"/>
        </w:tc>
      </w:tr>
      <w:tr w:rsidR="00135A86" w14:paraId="3ED3DBDC" w14:textId="6747493F" w:rsidTr="00135A86">
        <w:tc>
          <w:tcPr>
            <w:tcW w:w="1355" w:type="dxa"/>
          </w:tcPr>
          <w:p w14:paraId="3ABAE98A" w14:textId="40EB2D7B" w:rsidR="00135A86" w:rsidRDefault="00135A86">
            <w:r>
              <w:t>Psych safety</w:t>
            </w:r>
          </w:p>
        </w:tc>
        <w:tc>
          <w:tcPr>
            <w:tcW w:w="3461" w:type="dxa"/>
          </w:tcPr>
          <w:p w14:paraId="45759B14" w14:textId="175D5DDA" w:rsidR="00135A86" w:rsidRDefault="00135A86">
            <w:r>
              <w:t xml:space="preserve">“Create a space where you feel </w:t>
            </w:r>
            <w:r w:rsidR="00056BBC">
              <w:t>free</w:t>
            </w:r>
            <w:r>
              <w:t xml:space="preserve"> to take risks in the service of learning”</w:t>
            </w:r>
          </w:p>
          <w:p w14:paraId="3C1C8F12" w14:textId="77777777" w:rsidR="00135A86" w:rsidRDefault="00135A86"/>
          <w:p w14:paraId="6B319200" w14:textId="52CF222C" w:rsidR="00135A86" w:rsidRDefault="00135A86">
            <w:r>
              <w:t>“</w:t>
            </w:r>
            <w:r w:rsidR="00056BBC">
              <w:t>You’ll be practicing at the e</w:t>
            </w:r>
            <w:r>
              <w:t>dge of expertise”</w:t>
            </w:r>
          </w:p>
          <w:p w14:paraId="342464F8" w14:textId="77777777" w:rsidR="00135A86" w:rsidRDefault="00135A86"/>
          <w:p w14:paraId="3EFC2407" w14:textId="75A97416" w:rsidR="00135A86" w:rsidRDefault="00056BBC">
            <w:r>
              <w:t>There will be m</w:t>
            </w:r>
            <w:r w:rsidR="00135A86">
              <w:t>oments of uncertainty – do what you think is best, we’ll debrief after</w:t>
            </w:r>
          </w:p>
          <w:p w14:paraId="4FECE342" w14:textId="77777777" w:rsidR="00135A86" w:rsidRDefault="00135A86"/>
          <w:p w14:paraId="63D80EF3" w14:textId="665825F5" w:rsidR="00135A86" w:rsidRDefault="00135A86">
            <w:r>
              <w:t>Purpose of debrief is self-reflection</w:t>
            </w:r>
          </w:p>
          <w:p w14:paraId="646D2699" w14:textId="77777777" w:rsidR="00135A86" w:rsidRDefault="00135A86"/>
          <w:p w14:paraId="4B09F790" w14:textId="74A7B311" w:rsidR="00135A86" w:rsidRDefault="00135A86">
            <w:r>
              <w:t>“Mistakes are a natural part of learning” – we’ll use those moments to learn together</w:t>
            </w:r>
          </w:p>
          <w:p w14:paraId="22EB4546" w14:textId="77777777" w:rsidR="00135A86" w:rsidRDefault="00135A86"/>
          <w:p w14:paraId="5C107E6B" w14:textId="77777777" w:rsidR="00135A86" w:rsidRDefault="00135A86">
            <w:r>
              <w:lastRenderedPageBreak/>
              <w:t xml:space="preserve">Basic Assumption – both ways – instructor shows some vulnerability </w:t>
            </w:r>
          </w:p>
          <w:p w14:paraId="24780983" w14:textId="7F10C56A" w:rsidR="00135A86" w:rsidRDefault="00135A86"/>
        </w:tc>
        <w:tc>
          <w:tcPr>
            <w:tcW w:w="5259" w:type="dxa"/>
          </w:tcPr>
          <w:p w14:paraId="643FDC9A" w14:textId="58D1C3B3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  <w:r>
              <w:rPr>
                <w:rFonts w:ascii="Arial" w:hAnsi="Arial" w:cs="Arial"/>
                <w:color w:val="2E2E2E"/>
              </w:rPr>
              <w:lastRenderedPageBreak/>
              <w:t xml:space="preserve">Importantly, the </w:t>
            </w:r>
            <w:proofErr w:type="spellStart"/>
            <w:r>
              <w:rPr>
                <w:rFonts w:ascii="Arial" w:hAnsi="Arial" w:cs="Arial"/>
                <w:color w:val="2E2E2E"/>
              </w:rPr>
              <w:t>faciltator</w:t>
            </w:r>
            <w:proofErr w:type="spellEnd"/>
            <w:r>
              <w:rPr>
                <w:rFonts w:ascii="Arial" w:hAnsi="Arial" w:cs="Arial"/>
                <w:color w:val="2E2E2E"/>
              </w:rPr>
              <w:t xml:space="preserve"> does not say “this is a safe space”.  Faculty cannot dictate whether </w:t>
            </w:r>
            <w:proofErr w:type="spellStart"/>
            <w:r>
              <w:rPr>
                <w:rFonts w:ascii="Arial" w:hAnsi="Arial" w:cs="Arial"/>
                <w:color w:val="2E2E2E"/>
              </w:rPr>
              <w:t>of</w:t>
            </w:r>
            <w:proofErr w:type="spellEnd"/>
            <w:r>
              <w:rPr>
                <w:rFonts w:ascii="Arial" w:hAnsi="Arial" w:cs="Arial"/>
                <w:color w:val="2E2E2E"/>
              </w:rPr>
              <w:t xml:space="preserve"> not a learner feels safe in the learning environment.  Psychological safety is a perception, on the part of the learner, that an environment is safe for taking risks while learning.  </w:t>
            </w:r>
            <w:r w:rsidR="004976CB">
              <w:rPr>
                <w:rFonts w:ascii="Arial" w:hAnsi="Arial" w:cs="Arial"/>
                <w:color w:val="2E2E2E"/>
              </w:rPr>
              <w:t xml:space="preserve">This supports learning and the development of a professional identity.  </w:t>
            </w:r>
          </w:p>
          <w:p w14:paraId="10BC023F" w14:textId="77777777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</w:p>
          <w:p w14:paraId="6C6846E5" w14:textId="77777777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  <w:r>
              <w:rPr>
                <w:rFonts w:ascii="Arial" w:hAnsi="Arial" w:cs="Arial"/>
                <w:color w:val="2E2E2E"/>
              </w:rPr>
              <w:t xml:space="preserve">The facilitator explains the nature of learning in the simulated environment.  Mistakes are contextualized as a normal part of learning, and a valuable opportunity to learn.  </w:t>
            </w:r>
          </w:p>
          <w:p w14:paraId="526413F2" w14:textId="77777777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</w:p>
          <w:p w14:paraId="2DF0E0CA" w14:textId="7116AA23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  <w:r>
              <w:rPr>
                <w:rFonts w:ascii="Arial" w:hAnsi="Arial" w:cs="Arial"/>
                <w:color w:val="2E2E2E"/>
              </w:rPr>
              <w:t xml:space="preserve">The purpose of debriefing is described as </w:t>
            </w:r>
            <w:proofErr w:type="spellStart"/>
            <w:r>
              <w:rPr>
                <w:rFonts w:ascii="Arial" w:hAnsi="Arial" w:cs="Arial"/>
                <w:color w:val="2E2E2E"/>
              </w:rPr>
              <w:t>self reflection</w:t>
            </w:r>
            <w:proofErr w:type="spellEnd"/>
            <w:r>
              <w:rPr>
                <w:rFonts w:ascii="Arial" w:hAnsi="Arial" w:cs="Arial"/>
                <w:color w:val="2E2E2E"/>
              </w:rPr>
              <w:t xml:space="preserve"> on thought processes.  It is not described as a time to talk only about actions i.e. what learners do right or wrong </w:t>
            </w:r>
          </w:p>
          <w:p w14:paraId="4DB35D1C" w14:textId="77777777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</w:p>
          <w:p w14:paraId="494168B1" w14:textId="77777777" w:rsidR="00056BBC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</w:p>
          <w:p w14:paraId="346A7B91" w14:textId="0CF3A95F" w:rsidR="00135A86" w:rsidRDefault="00056BBC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  <w:r>
              <w:rPr>
                <w:rFonts w:ascii="Arial" w:hAnsi="Arial" w:cs="Arial"/>
                <w:color w:val="2E2E2E"/>
              </w:rPr>
              <w:lastRenderedPageBreak/>
              <w:t>Stating positive regard for learners</w:t>
            </w:r>
            <w:r w:rsidR="004976CB">
              <w:rPr>
                <w:rFonts w:ascii="Arial" w:hAnsi="Arial" w:cs="Arial"/>
                <w:color w:val="2E2E2E"/>
              </w:rPr>
              <w:t xml:space="preserve"> can</w:t>
            </w:r>
            <w:r w:rsidR="00135A86">
              <w:rPr>
                <w:rFonts w:ascii="Arial" w:hAnsi="Arial" w:cs="Arial"/>
                <w:color w:val="2E2E2E"/>
              </w:rPr>
              <w:t xml:space="preserve"> help establish an environment of integrity, trust, and respect.</w:t>
            </w:r>
            <w:r>
              <w:rPr>
                <w:rFonts w:ascii="Arial" w:hAnsi="Arial" w:cs="Arial"/>
                <w:color w:val="2E2E2E"/>
              </w:rPr>
              <w:t xml:space="preserve"> </w:t>
            </w:r>
          </w:p>
          <w:p w14:paraId="79F7C075" w14:textId="77777777" w:rsidR="004976CB" w:rsidRDefault="004976CB" w:rsidP="00135A86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</w:p>
          <w:p w14:paraId="4F12A845" w14:textId="0B6DA7C3" w:rsidR="00135A86" w:rsidRDefault="002D7948" w:rsidP="002D7948">
            <w:pPr>
              <w:shd w:val="clear" w:color="auto" w:fill="FFFFFF"/>
              <w:rPr>
                <w:rFonts w:ascii="Arial" w:hAnsi="Arial" w:cs="Arial"/>
                <w:color w:val="2E2E2E"/>
              </w:rPr>
            </w:pPr>
            <w:r>
              <w:rPr>
                <w:rFonts w:ascii="Arial" w:hAnsi="Arial" w:cs="Arial"/>
                <w:color w:val="2E2E2E"/>
              </w:rPr>
              <w:t xml:space="preserve">By asking learners to hold the Basic Assumption about her, the facilitator is demonstrating vulnerability in the learning environment. This increases the changes that learners will show reciprocal vulnerability in learning.  </w:t>
            </w:r>
          </w:p>
          <w:p w14:paraId="34D1E9A7" w14:textId="1F24B554" w:rsidR="002D7948" w:rsidRDefault="002D7948" w:rsidP="002D7948">
            <w:pPr>
              <w:shd w:val="clear" w:color="auto" w:fill="FFFFFF"/>
            </w:pPr>
          </w:p>
        </w:tc>
      </w:tr>
      <w:tr w:rsidR="00135A86" w14:paraId="7AE21FE9" w14:textId="73FD777E" w:rsidTr="00135A86">
        <w:tc>
          <w:tcPr>
            <w:tcW w:w="1355" w:type="dxa"/>
          </w:tcPr>
          <w:p w14:paraId="604D33DB" w14:textId="6707ADA1" w:rsidR="00135A86" w:rsidRDefault="00135A86">
            <w:r>
              <w:t>Orient to experience today</w:t>
            </w:r>
          </w:p>
        </w:tc>
        <w:tc>
          <w:tcPr>
            <w:tcW w:w="3461" w:type="dxa"/>
          </w:tcPr>
          <w:p w14:paraId="6DADBB7E" w14:textId="77777777" w:rsidR="00135A86" w:rsidRDefault="00135A86">
            <w:r>
              <w:t>Apply nursing process – as practice for future nursing care</w:t>
            </w:r>
          </w:p>
          <w:p w14:paraId="1256EA07" w14:textId="77777777" w:rsidR="00135A86" w:rsidRDefault="00135A86"/>
          <w:p w14:paraId="60A65944" w14:textId="6F91030A" w:rsidR="00135A86" w:rsidRDefault="004976CB" w:rsidP="004976CB">
            <w:r>
              <w:t>Reminds students they’ll be working on c</w:t>
            </w:r>
            <w:r w:rsidR="00135A86">
              <w:t>ommunication</w:t>
            </w:r>
            <w:r>
              <w:t xml:space="preserve"> and safe m</w:t>
            </w:r>
            <w:r w:rsidR="00135A86">
              <w:t>edication</w:t>
            </w:r>
            <w:r>
              <w:t xml:space="preserve"> administration </w:t>
            </w:r>
          </w:p>
        </w:tc>
        <w:tc>
          <w:tcPr>
            <w:tcW w:w="5259" w:type="dxa"/>
          </w:tcPr>
          <w:p w14:paraId="29CB8F03" w14:textId="77777777" w:rsidR="00135A86" w:rsidRDefault="004976CB">
            <w:r>
              <w:t xml:space="preserve"> Provides information</w:t>
            </w:r>
          </w:p>
          <w:p w14:paraId="2D949A1B" w14:textId="77777777" w:rsidR="004976CB" w:rsidRDefault="004976CB"/>
          <w:p w14:paraId="5DDE1615" w14:textId="0E8FB0EB" w:rsidR="004976CB" w:rsidRDefault="004976CB">
            <w:r>
              <w:t xml:space="preserve">Gives learners opportunity to ask questions </w:t>
            </w:r>
          </w:p>
        </w:tc>
      </w:tr>
    </w:tbl>
    <w:p w14:paraId="3724C2F8" w14:textId="77777777" w:rsidR="000A0305" w:rsidRDefault="000A0305"/>
    <w:p w14:paraId="4ED648FB" w14:textId="77777777" w:rsidR="00135A86" w:rsidRDefault="00135A86"/>
    <w:p w14:paraId="4D4AE5A4" w14:textId="77777777" w:rsidR="00135A86" w:rsidRDefault="00135A86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355"/>
        <w:gridCol w:w="3680"/>
        <w:gridCol w:w="5040"/>
      </w:tblGrid>
      <w:tr w:rsidR="004976CB" w:rsidRPr="000A0305" w14:paraId="698F8249" w14:textId="77777777" w:rsidTr="00417FF6">
        <w:tc>
          <w:tcPr>
            <w:tcW w:w="10075" w:type="dxa"/>
            <w:gridSpan w:val="3"/>
            <w:shd w:val="clear" w:color="auto" w:fill="A5C9EB" w:themeFill="text2" w:themeFillTint="40"/>
          </w:tcPr>
          <w:p w14:paraId="606E7CA8" w14:textId="11331303" w:rsidR="004976CB" w:rsidRDefault="004976CB" w:rsidP="00417FF6">
            <w:pPr>
              <w:jc w:val="center"/>
              <w:rPr>
                <w:b/>
                <w:bCs/>
              </w:rPr>
            </w:pPr>
            <w:proofErr w:type="gramStart"/>
            <w:r w:rsidRPr="004976CB">
              <w:rPr>
                <w:b/>
                <w:bCs/>
                <w:i/>
                <w:iCs/>
              </w:rPr>
              <w:t>Opportunity</w:t>
            </w:r>
            <w:r w:rsidRPr="004976C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Prebriefing</w:t>
            </w:r>
            <w:proofErr w:type="spellEnd"/>
            <w:proofErr w:type="gramEnd"/>
            <w:r>
              <w:rPr>
                <w:b/>
                <w:bCs/>
              </w:rPr>
              <w:t xml:space="preserve"> script &amp; teaching points</w:t>
            </w:r>
          </w:p>
          <w:p w14:paraId="09B1156C" w14:textId="77777777" w:rsidR="004976CB" w:rsidRPr="000A0305" w:rsidRDefault="004976CB" w:rsidP="0041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90B97" w:rsidRPr="000A0305" w14:paraId="0F4962B8" w14:textId="77777777" w:rsidTr="00E90B97">
        <w:tc>
          <w:tcPr>
            <w:tcW w:w="1355" w:type="dxa"/>
          </w:tcPr>
          <w:p w14:paraId="40F72C61" w14:textId="77777777" w:rsidR="00E90B97" w:rsidRPr="000A0305" w:rsidRDefault="00E90B97" w:rsidP="00417FF6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656E5795" w14:textId="77777777" w:rsidR="00E90B97" w:rsidRDefault="00E90B97" w:rsidP="0041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Dialogue </w:t>
            </w:r>
          </w:p>
          <w:p w14:paraId="5522E0DE" w14:textId="77777777" w:rsidR="00E90B97" w:rsidRPr="000A0305" w:rsidRDefault="00E90B97" w:rsidP="00417FF6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</w:tcPr>
          <w:p w14:paraId="36199A83" w14:textId="77777777" w:rsidR="00E90B97" w:rsidRPr="000A0305" w:rsidRDefault="00E90B97" w:rsidP="0041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1355"/>
        <w:gridCol w:w="3660"/>
        <w:gridCol w:w="5060"/>
      </w:tblGrid>
      <w:tr w:rsidR="00E90B97" w14:paraId="205CDA4A" w14:textId="731311A9" w:rsidTr="00E90B97">
        <w:tc>
          <w:tcPr>
            <w:tcW w:w="1355" w:type="dxa"/>
          </w:tcPr>
          <w:p w14:paraId="6DE62466" w14:textId="30F84299" w:rsidR="00E90B97" w:rsidRDefault="00E90B97" w:rsidP="004976CB">
            <w:r>
              <w:t>Non-</w:t>
            </w:r>
            <w:proofErr w:type="spellStart"/>
            <w:r>
              <w:t>verbals</w:t>
            </w:r>
            <w:proofErr w:type="spellEnd"/>
          </w:p>
        </w:tc>
        <w:tc>
          <w:tcPr>
            <w:tcW w:w="3660" w:type="dxa"/>
          </w:tcPr>
          <w:p w14:paraId="1CAF68FF" w14:textId="77777777" w:rsidR="00E90B97" w:rsidRDefault="00E90B97" w:rsidP="004976CB">
            <w:r>
              <w:t>Standing, arms crossed</w:t>
            </w:r>
            <w:r>
              <w:t xml:space="preserve"> </w:t>
            </w:r>
          </w:p>
          <w:p w14:paraId="2C92A8C1" w14:textId="77777777" w:rsidR="00E90B97" w:rsidRDefault="00E90B97" w:rsidP="004976CB"/>
          <w:p w14:paraId="63AA8929" w14:textId="1D150F5C" w:rsidR="00E90B97" w:rsidRDefault="00E90B97" w:rsidP="004976CB"/>
        </w:tc>
        <w:tc>
          <w:tcPr>
            <w:tcW w:w="5060" w:type="dxa"/>
          </w:tcPr>
          <w:p w14:paraId="099080AE" w14:textId="514F3972" w:rsidR="00E90B97" w:rsidRDefault="00E90B97" w:rsidP="00E90B97">
            <w:r>
              <w:t>Standing in front of the classroom with arms crossed does not make the instructor seem accessible and approachable.</w:t>
            </w:r>
          </w:p>
          <w:p w14:paraId="3D996DA4" w14:textId="0F133534" w:rsidR="00E90B97" w:rsidRDefault="00E90B97" w:rsidP="00E90B97"/>
        </w:tc>
      </w:tr>
      <w:tr w:rsidR="00E90B97" w14:paraId="193A8893" w14:textId="7ADBD3A9" w:rsidTr="00E90B97">
        <w:tc>
          <w:tcPr>
            <w:tcW w:w="1355" w:type="dxa"/>
          </w:tcPr>
          <w:p w14:paraId="32D31D3F" w14:textId="3F1FB2CF" w:rsidR="00E90B97" w:rsidRDefault="00E90B97" w:rsidP="004976CB">
            <w:r>
              <w:t>Greeting</w:t>
            </w:r>
          </w:p>
        </w:tc>
        <w:tc>
          <w:tcPr>
            <w:tcW w:w="3660" w:type="dxa"/>
          </w:tcPr>
          <w:p w14:paraId="252F0E0B" w14:textId="4BFAF66A" w:rsidR="00E90B97" w:rsidRDefault="00E90B97" w:rsidP="004976CB">
            <w:r>
              <w:t>Come in, take a seat</w:t>
            </w:r>
          </w:p>
        </w:tc>
        <w:tc>
          <w:tcPr>
            <w:tcW w:w="5060" w:type="dxa"/>
          </w:tcPr>
          <w:p w14:paraId="7F00DCBB" w14:textId="10D8BBCD" w:rsidR="00E90B97" w:rsidRDefault="00E90B97" w:rsidP="00E90B97">
            <w:r>
              <w:t xml:space="preserve">The greeting is adequate; </w:t>
            </w:r>
            <w:r w:rsidR="002D7948">
              <w:t xml:space="preserve">however, </w:t>
            </w:r>
            <w:r>
              <w:t>the instructor could make themself more approachable with a warmer greeting.</w:t>
            </w:r>
          </w:p>
          <w:p w14:paraId="5E540349" w14:textId="77777777" w:rsidR="00E90B97" w:rsidRDefault="00E90B97" w:rsidP="004976CB"/>
        </w:tc>
      </w:tr>
      <w:tr w:rsidR="00E90B97" w14:paraId="4B27D271" w14:textId="52D91F31" w:rsidTr="00E90B97">
        <w:tc>
          <w:tcPr>
            <w:tcW w:w="1355" w:type="dxa"/>
          </w:tcPr>
          <w:p w14:paraId="25A817EE" w14:textId="3E1B9720" w:rsidR="00E90B97" w:rsidRDefault="00E90B97" w:rsidP="004976CB">
            <w:r>
              <w:t>Psych safety</w:t>
            </w:r>
          </w:p>
        </w:tc>
        <w:tc>
          <w:tcPr>
            <w:tcW w:w="3660" w:type="dxa"/>
          </w:tcPr>
          <w:p w14:paraId="75963B4D" w14:textId="6815C15E" w:rsidR="00E90B97" w:rsidRDefault="00E90B97" w:rsidP="004976CB">
            <w:r>
              <w:t>“This is a psychologically safe place”</w:t>
            </w:r>
          </w:p>
          <w:p w14:paraId="1F6DF941" w14:textId="2D155B8C" w:rsidR="00E90B97" w:rsidRDefault="00E90B97" w:rsidP="004976CB">
            <w:r>
              <w:br/>
              <w:t>“You know this stuff”</w:t>
            </w:r>
            <w:r>
              <w:t xml:space="preserve"> “Just apply what you know from </w:t>
            </w:r>
            <w:proofErr w:type="gramStart"/>
            <w:r>
              <w:t xml:space="preserve">this </w:t>
            </w:r>
            <w:proofErr w:type="spellStart"/>
            <w:r>
              <w:t>an</w:t>
            </w:r>
            <w:proofErr w:type="gramEnd"/>
            <w:r>
              <w:t xml:space="preserve"> other</w:t>
            </w:r>
            <w:proofErr w:type="spellEnd"/>
            <w:r>
              <w:t xml:space="preserve"> courses”</w:t>
            </w:r>
          </w:p>
          <w:p w14:paraId="6BFCD418" w14:textId="01157299" w:rsidR="00E90B97" w:rsidRDefault="00E90B97" w:rsidP="004976CB">
            <w:r>
              <w:t xml:space="preserve"> </w:t>
            </w:r>
          </w:p>
          <w:p w14:paraId="6DA14163" w14:textId="77777777" w:rsidR="00E90B97" w:rsidRDefault="00E90B97" w:rsidP="004976CB"/>
          <w:p w14:paraId="33D81E07" w14:textId="77777777" w:rsidR="00E90B97" w:rsidRDefault="00E90B97" w:rsidP="004976CB"/>
          <w:p w14:paraId="5D6191AE" w14:textId="77777777" w:rsidR="00E90B97" w:rsidRDefault="00E90B97" w:rsidP="004976CB"/>
          <w:p w14:paraId="3A1D8052" w14:textId="28102F8D" w:rsidR="002D7948" w:rsidRDefault="002D7948" w:rsidP="004976CB">
            <w:r>
              <w:lastRenderedPageBreak/>
              <w:t xml:space="preserve">Positive:  the facilitator encourages everyone to share their perspective during debriefing and encourages participation and questions.  </w:t>
            </w:r>
          </w:p>
          <w:p w14:paraId="4B831CFD" w14:textId="77777777" w:rsidR="002D7948" w:rsidRDefault="002D7948" w:rsidP="004976CB"/>
          <w:p w14:paraId="021D686A" w14:textId="77777777" w:rsidR="002D7948" w:rsidRDefault="002D7948" w:rsidP="004976CB"/>
          <w:p w14:paraId="031EAEE2" w14:textId="77777777" w:rsidR="00E90B97" w:rsidRDefault="00E90B97" w:rsidP="004976CB">
            <w:r>
              <w:t>“If anything doesn’t work, you can call for assistance…”</w:t>
            </w:r>
          </w:p>
        </w:tc>
        <w:tc>
          <w:tcPr>
            <w:tcW w:w="5060" w:type="dxa"/>
          </w:tcPr>
          <w:p w14:paraId="64452EC3" w14:textId="77777777" w:rsidR="00E90B97" w:rsidRDefault="00E90B97" w:rsidP="004976CB">
            <w:r>
              <w:lastRenderedPageBreak/>
              <w:t xml:space="preserve">Psychological safety </w:t>
            </w:r>
            <w:proofErr w:type="spellStart"/>
            <w:r>
              <w:t>can not</w:t>
            </w:r>
            <w:proofErr w:type="spellEnd"/>
            <w:r>
              <w:t xml:space="preserve"> be decreed just because it is stated.  </w:t>
            </w:r>
          </w:p>
          <w:p w14:paraId="59CC9114" w14:textId="77777777" w:rsidR="00E90B97" w:rsidRDefault="00E90B97" w:rsidP="004976CB"/>
          <w:p w14:paraId="2A282B9D" w14:textId="2951BF5D" w:rsidR="00E90B97" w:rsidRDefault="00E90B97" w:rsidP="004976CB">
            <w:r>
              <w:t xml:space="preserve">Telling emerging </w:t>
            </w:r>
            <w:proofErr w:type="gramStart"/>
            <w:r>
              <w:t>learners</w:t>
            </w:r>
            <w:proofErr w:type="gramEnd"/>
            <w:r>
              <w:t xml:space="preserve"> they “know” material can create feelings of uneasiness about the expectations of the facilitator.  </w:t>
            </w:r>
          </w:p>
          <w:p w14:paraId="2D4F4B3C" w14:textId="0FC1AFEC" w:rsidR="002D7948" w:rsidRDefault="002D7948" w:rsidP="004976CB">
            <w:r>
              <w:t xml:space="preserve">The facilitator does not discuss the potential for mistakes, and how mistakes can be used as valuable learning opportunities.  </w:t>
            </w:r>
          </w:p>
          <w:p w14:paraId="30BDAAC7" w14:textId="77777777" w:rsidR="00E90B97" w:rsidRDefault="00E90B97" w:rsidP="004976CB"/>
          <w:p w14:paraId="213EDE83" w14:textId="77777777" w:rsidR="00E90B97" w:rsidRDefault="00E90B97" w:rsidP="004976CB"/>
          <w:p w14:paraId="201783CE" w14:textId="77777777" w:rsidR="00E90B97" w:rsidRDefault="002D7948" w:rsidP="004976CB">
            <w:r>
              <w:lastRenderedPageBreak/>
              <w:t xml:space="preserve">This demonstrates respect for the learners and communicates that their perspective is valuable, which promotes psychological safety.  </w:t>
            </w:r>
          </w:p>
          <w:p w14:paraId="3EB6FD5D" w14:textId="77777777" w:rsidR="002D7948" w:rsidRDefault="002D7948" w:rsidP="004976CB"/>
          <w:p w14:paraId="03BEBD3F" w14:textId="77777777" w:rsidR="002D7948" w:rsidRDefault="002D7948" w:rsidP="004976CB"/>
          <w:p w14:paraId="7F5C2AE1" w14:textId="77777777" w:rsidR="002D7948" w:rsidRDefault="002D7948" w:rsidP="004976CB"/>
          <w:p w14:paraId="06F9B8B7" w14:textId="0C6DA1FF" w:rsidR="002D7948" w:rsidRDefault="002D7948" w:rsidP="004976CB">
            <w:r>
              <w:t xml:space="preserve">Very vague instructions; may be distracting without being very helpful.  </w:t>
            </w:r>
            <w:proofErr w:type="spellStart"/>
            <w:r>
              <w:t>E.g</w:t>
            </w:r>
            <w:proofErr w:type="spellEnd"/>
            <w:r>
              <w:t xml:space="preserve"> What might not work?  Is that part of the simulation?  How do I call? Who do I call?  </w:t>
            </w:r>
          </w:p>
          <w:p w14:paraId="6E8E69FF" w14:textId="4E0BD5BD" w:rsidR="002D7948" w:rsidRDefault="002D7948" w:rsidP="004976CB"/>
        </w:tc>
      </w:tr>
      <w:tr w:rsidR="00E90B97" w14:paraId="1925C377" w14:textId="5F18792A" w:rsidTr="00E90B97">
        <w:tc>
          <w:tcPr>
            <w:tcW w:w="1355" w:type="dxa"/>
          </w:tcPr>
          <w:p w14:paraId="7E48EC8D" w14:textId="43817DFE" w:rsidR="00E90B97" w:rsidRDefault="00E90B97" w:rsidP="004976CB">
            <w:r>
              <w:lastRenderedPageBreak/>
              <w:t>Orient to experience today</w:t>
            </w:r>
          </w:p>
        </w:tc>
        <w:tc>
          <w:tcPr>
            <w:tcW w:w="3660" w:type="dxa"/>
          </w:tcPr>
          <w:p w14:paraId="51C117B0" w14:textId="3CAAC4B3" w:rsidR="00E90B97" w:rsidRDefault="00E90B97" w:rsidP="004976CB">
            <w:r>
              <w:t>Develop as a nurse in a safe environment</w:t>
            </w:r>
          </w:p>
          <w:p w14:paraId="77B69539" w14:textId="77777777" w:rsidR="00E90B97" w:rsidRDefault="00E90B97" w:rsidP="004976CB"/>
          <w:p w14:paraId="3287A731" w14:textId="77777777" w:rsidR="00E90B97" w:rsidRDefault="00E90B97" w:rsidP="004976CB">
            <w:r>
              <w:t xml:space="preserve">Rotate through…expectation is that you are the nurse taking care of the patient and will provide necessary interventions </w:t>
            </w:r>
          </w:p>
        </w:tc>
        <w:tc>
          <w:tcPr>
            <w:tcW w:w="5060" w:type="dxa"/>
          </w:tcPr>
          <w:p w14:paraId="48ED2603" w14:textId="5C7BA2A6" w:rsidR="00E90B97" w:rsidRDefault="002D7948" w:rsidP="004976CB">
            <w:r>
              <w:t xml:space="preserve">Provides information about the experience.  </w:t>
            </w:r>
          </w:p>
        </w:tc>
      </w:tr>
    </w:tbl>
    <w:p w14:paraId="5DE467F8" w14:textId="0927D188" w:rsidR="00135A86" w:rsidRDefault="002F30A9">
      <w:r>
        <w:br w:type="textWrapping" w:clear="all"/>
      </w:r>
    </w:p>
    <w:sectPr w:rsidR="0013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14BCB"/>
    <w:multiLevelType w:val="multilevel"/>
    <w:tmpl w:val="05AC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82420"/>
    <w:multiLevelType w:val="multilevel"/>
    <w:tmpl w:val="1CB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695021">
    <w:abstractNumId w:val="1"/>
  </w:num>
  <w:num w:numId="2" w16cid:durableId="19683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2"/>
    <w:rsid w:val="000005D8"/>
    <w:rsid w:val="00000755"/>
    <w:rsid w:val="000232C4"/>
    <w:rsid w:val="000507A7"/>
    <w:rsid w:val="00052B40"/>
    <w:rsid w:val="00056BBC"/>
    <w:rsid w:val="00073BC9"/>
    <w:rsid w:val="00077495"/>
    <w:rsid w:val="00081CEE"/>
    <w:rsid w:val="00083646"/>
    <w:rsid w:val="00096EDE"/>
    <w:rsid w:val="00097C4D"/>
    <w:rsid w:val="000A0305"/>
    <w:rsid w:val="000A3906"/>
    <w:rsid w:val="000B686E"/>
    <w:rsid w:val="000C08C5"/>
    <w:rsid w:val="00100EDD"/>
    <w:rsid w:val="00110C41"/>
    <w:rsid w:val="001125C9"/>
    <w:rsid w:val="00130908"/>
    <w:rsid w:val="001352DF"/>
    <w:rsid w:val="00135A86"/>
    <w:rsid w:val="00141EF7"/>
    <w:rsid w:val="00151426"/>
    <w:rsid w:val="00172767"/>
    <w:rsid w:val="001A48DA"/>
    <w:rsid w:val="001A4B20"/>
    <w:rsid w:val="001A729F"/>
    <w:rsid w:val="001F442F"/>
    <w:rsid w:val="001F5D87"/>
    <w:rsid w:val="002001E0"/>
    <w:rsid w:val="00202DBD"/>
    <w:rsid w:val="0020733C"/>
    <w:rsid w:val="00207BD2"/>
    <w:rsid w:val="00226724"/>
    <w:rsid w:val="00227A5C"/>
    <w:rsid w:val="002353F5"/>
    <w:rsid w:val="00251241"/>
    <w:rsid w:val="002814D3"/>
    <w:rsid w:val="0028759B"/>
    <w:rsid w:val="002B7A72"/>
    <w:rsid w:val="002C1AD2"/>
    <w:rsid w:val="002D0ED6"/>
    <w:rsid w:val="002D4B42"/>
    <w:rsid w:val="002D7948"/>
    <w:rsid w:val="002F30A9"/>
    <w:rsid w:val="00312924"/>
    <w:rsid w:val="00325028"/>
    <w:rsid w:val="0033058F"/>
    <w:rsid w:val="0033235D"/>
    <w:rsid w:val="00345715"/>
    <w:rsid w:val="00346701"/>
    <w:rsid w:val="00346721"/>
    <w:rsid w:val="00376598"/>
    <w:rsid w:val="003811E2"/>
    <w:rsid w:val="003A3180"/>
    <w:rsid w:val="003C4E2F"/>
    <w:rsid w:val="003D7D64"/>
    <w:rsid w:val="003F1C05"/>
    <w:rsid w:val="00410FD1"/>
    <w:rsid w:val="00413ECF"/>
    <w:rsid w:val="00422728"/>
    <w:rsid w:val="004976CB"/>
    <w:rsid w:val="004A1082"/>
    <w:rsid w:val="004C64B7"/>
    <w:rsid w:val="004C6C20"/>
    <w:rsid w:val="004F1493"/>
    <w:rsid w:val="00550911"/>
    <w:rsid w:val="00554F75"/>
    <w:rsid w:val="00557502"/>
    <w:rsid w:val="00566710"/>
    <w:rsid w:val="005C1271"/>
    <w:rsid w:val="005C4A18"/>
    <w:rsid w:val="005D142D"/>
    <w:rsid w:val="005E5DE5"/>
    <w:rsid w:val="00610F14"/>
    <w:rsid w:val="00675E4E"/>
    <w:rsid w:val="006E37D6"/>
    <w:rsid w:val="006E3D98"/>
    <w:rsid w:val="006E7088"/>
    <w:rsid w:val="006F7CBB"/>
    <w:rsid w:val="007032D0"/>
    <w:rsid w:val="00704D01"/>
    <w:rsid w:val="00725524"/>
    <w:rsid w:val="007644ED"/>
    <w:rsid w:val="00767F9F"/>
    <w:rsid w:val="00783E1E"/>
    <w:rsid w:val="007B28E0"/>
    <w:rsid w:val="007B6519"/>
    <w:rsid w:val="007C4BCA"/>
    <w:rsid w:val="007C71EB"/>
    <w:rsid w:val="007E0E4C"/>
    <w:rsid w:val="00807EE9"/>
    <w:rsid w:val="008149B3"/>
    <w:rsid w:val="00836B14"/>
    <w:rsid w:val="00863A23"/>
    <w:rsid w:val="008A1A37"/>
    <w:rsid w:val="008A4A35"/>
    <w:rsid w:val="008B6A79"/>
    <w:rsid w:val="008D182B"/>
    <w:rsid w:val="008E64E7"/>
    <w:rsid w:val="008E70DB"/>
    <w:rsid w:val="00924DF5"/>
    <w:rsid w:val="00927EE1"/>
    <w:rsid w:val="00933126"/>
    <w:rsid w:val="00945BA2"/>
    <w:rsid w:val="00962AA0"/>
    <w:rsid w:val="0096300F"/>
    <w:rsid w:val="009759AC"/>
    <w:rsid w:val="00976BB7"/>
    <w:rsid w:val="00981D28"/>
    <w:rsid w:val="009A03E7"/>
    <w:rsid w:val="009B688B"/>
    <w:rsid w:val="009C2292"/>
    <w:rsid w:val="009F2795"/>
    <w:rsid w:val="009F2A91"/>
    <w:rsid w:val="009F6A7A"/>
    <w:rsid w:val="00A20963"/>
    <w:rsid w:val="00A24B5B"/>
    <w:rsid w:val="00A3025B"/>
    <w:rsid w:val="00A440A7"/>
    <w:rsid w:val="00A44A81"/>
    <w:rsid w:val="00A479E3"/>
    <w:rsid w:val="00A65697"/>
    <w:rsid w:val="00A71F35"/>
    <w:rsid w:val="00AA460A"/>
    <w:rsid w:val="00AB6F18"/>
    <w:rsid w:val="00AD258E"/>
    <w:rsid w:val="00AE1DAD"/>
    <w:rsid w:val="00AE58CB"/>
    <w:rsid w:val="00AF2B86"/>
    <w:rsid w:val="00B20531"/>
    <w:rsid w:val="00B32FF5"/>
    <w:rsid w:val="00B43D22"/>
    <w:rsid w:val="00B60EAE"/>
    <w:rsid w:val="00B77D1F"/>
    <w:rsid w:val="00BA3F08"/>
    <w:rsid w:val="00BC7EFC"/>
    <w:rsid w:val="00BD0430"/>
    <w:rsid w:val="00BE0C6D"/>
    <w:rsid w:val="00BE1587"/>
    <w:rsid w:val="00C207A0"/>
    <w:rsid w:val="00C35E06"/>
    <w:rsid w:val="00C42BE0"/>
    <w:rsid w:val="00C821AF"/>
    <w:rsid w:val="00C82D4C"/>
    <w:rsid w:val="00CA19D2"/>
    <w:rsid w:val="00CA2604"/>
    <w:rsid w:val="00CB6264"/>
    <w:rsid w:val="00CD07E6"/>
    <w:rsid w:val="00D21C47"/>
    <w:rsid w:val="00D27171"/>
    <w:rsid w:val="00D31573"/>
    <w:rsid w:val="00D35B7F"/>
    <w:rsid w:val="00D550AE"/>
    <w:rsid w:val="00D71476"/>
    <w:rsid w:val="00D77846"/>
    <w:rsid w:val="00D77B4E"/>
    <w:rsid w:val="00DD7E5F"/>
    <w:rsid w:val="00DF0F2F"/>
    <w:rsid w:val="00E048F7"/>
    <w:rsid w:val="00E31433"/>
    <w:rsid w:val="00E33CAC"/>
    <w:rsid w:val="00E37B20"/>
    <w:rsid w:val="00E432D0"/>
    <w:rsid w:val="00E4765B"/>
    <w:rsid w:val="00E50183"/>
    <w:rsid w:val="00E510E4"/>
    <w:rsid w:val="00E90B97"/>
    <w:rsid w:val="00EB5C0F"/>
    <w:rsid w:val="00EC0512"/>
    <w:rsid w:val="00EC0E07"/>
    <w:rsid w:val="00ED5BBA"/>
    <w:rsid w:val="00F30396"/>
    <w:rsid w:val="00F373AF"/>
    <w:rsid w:val="00F54FCA"/>
    <w:rsid w:val="00F95698"/>
    <w:rsid w:val="00FB245C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7AA8C"/>
  <w15:chartTrackingRefBased/>
  <w15:docId w15:val="{53BD1EAE-FF49-3741-9A54-C9202B2D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A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A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block">
    <w:name w:val="dropblock"/>
    <w:basedOn w:val="DefaultParagraphFont"/>
    <w:rsid w:val="00135A86"/>
  </w:style>
  <w:style w:type="character" w:styleId="Hyperlink">
    <w:name w:val="Hyperlink"/>
    <w:basedOn w:val="DefaultParagraphFont"/>
    <w:uiPriority w:val="99"/>
    <w:semiHidden/>
    <w:unhideWhenUsed/>
    <w:rsid w:val="00135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Fey</dc:creator>
  <cp:keywords/>
  <dc:description/>
  <cp:lastModifiedBy>Mary Fey</cp:lastModifiedBy>
  <cp:revision>3</cp:revision>
  <cp:lastPrinted>2025-06-23T18:41:00Z</cp:lastPrinted>
  <dcterms:created xsi:type="dcterms:W3CDTF">2024-11-13T18:24:00Z</dcterms:created>
  <dcterms:modified xsi:type="dcterms:W3CDTF">2025-06-23T19:57:00Z</dcterms:modified>
</cp:coreProperties>
</file>