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EFE5" w14:textId="77777777" w:rsidR="00BA56CE" w:rsidRDefault="00BA56CE" w:rsidP="00BA56C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0B8BDE" w14:textId="28069D4B" w:rsidR="00BA56CE" w:rsidRPr="000832E7" w:rsidRDefault="000832E7" w:rsidP="00301DD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32E7">
        <w:rPr>
          <w:rFonts w:ascii="Times New Roman" w:hAnsi="Times New Roman" w:cs="Times New Roman"/>
          <w:b/>
          <w:bCs/>
          <w:sz w:val="36"/>
          <w:szCs w:val="36"/>
        </w:rPr>
        <w:t>Assessment</w:t>
      </w:r>
    </w:p>
    <w:p w14:paraId="2823536D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Style w:val="TableGrid"/>
        <w:tblW w:w="14040" w:type="dxa"/>
        <w:tblInd w:w="85" w:type="dxa"/>
        <w:tblLook w:val="04A0" w:firstRow="1" w:lastRow="0" w:firstColumn="1" w:lastColumn="0" w:noHBand="0" w:noVBand="1"/>
      </w:tblPr>
      <w:tblGrid>
        <w:gridCol w:w="1105"/>
        <w:gridCol w:w="6005"/>
        <w:gridCol w:w="6930"/>
      </w:tblGrid>
      <w:tr w:rsidR="000832E7" w:rsidRPr="00351F2C" w14:paraId="085B8977" w14:textId="77777777" w:rsidTr="00775DF3">
        <w:trPr>
          <w:cantSplit/>
          <w:trHeight w:val="1134"/>
        </w:trPr>
        <w:tc>
          <w:tcPr>
            <w:tcW w:w="1105" w:type="dxa"/>
            <w:shd w:val="clear" w:color="auto" w:fill="E7E6E6" w:themeFill="background2"/>
            <w:textDirection w:val="btLr"/>
          </w:tcPr>
          <w:p w14:paraId="34DA93AD" w14:textId="77777777" w:rsidR="000832E7" w:rsidRPr="00CC3301" w:rsidRDefault="000832E7" w:rsidP="00775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301">
              <w:rPr>
                <w:rFonts w:ascii="Times New Roman" w:hAnsi="Times New Roman" w:cs="Times New Roman"/>
                <w:b/>
                <w:bCs/>
              </w:rPr>
              <w:t>Write a problem representation</w:t>
            </w:r>
          </w:p>
        </w:tc>
        <w:tc>
          <w:tcPr>
            <w:tcW w:w="6005" w:type="dxa"/>
          </w:tcPr>
          <w:p w14:paraId="40602A04" w14:textId="77777777" w:rsidR="000832E7" w:rsidRPr="00C37C9D" w:rsidRDefault="000832E7" w:rsidP="00775DF3">
            <w:pPr>
              <w:rPr>
                <w:rFonts w:ascii="Times New Roman" w:hAnsi="Times New Roman" w:cs="Times New Roman"/>
              </w:rPr>
            </w:pPr>
            <w:r w:rsidRPr="00C37C9D">
              <w:rPr>
                <w:rFonts w:ascii="Times New Roman" w:hAnsi="Times New Roman" w:cs="Times New Roman"/>
              </w:rPr>
              <w:t xml:space="preserve">Using semantic qualifiers, write a sentence summarizing (a) who the patient is; (b) key relevant findings; (c) time duration. </w:t>
            </w:r>
          </w:p>
          <w:p w14:paraId="4438B0F2" w14:textId="77777777" w:rsidR="000832E7" w:rsidRPr="00C37C9D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4DE9176B" w14:textId="77777777" w:rsidR="000832E7" w:rsidRPr="00C37C9D" w:rsidRDefault="000832E7" w:rsidP="00775DF3">
            <w:pPr>
              <w:rPr>
                <w:rFonts w:ascii="Times New Roman" w:hAnsi="Times New Roman" w:cs="Times New Roman"/>
                <w:i/>
                <w:iCs/>
              </w:rPr>
            </w:pPr>
            <w:r w:rsidRPr="00C37C9D">
              <w:rPr>
                <w:rFonts w:ascii="Times New Roman" w:hAnsi="Times New Roman" w:cs="Times New Roman"/>
                <w:i/>
                <w:iCs/>
              </w:rPr>
              <w:t>Tips (Consider the following):</w:t>
            </w:r>
          </w:p>
          <w:p w14:paraId="0234461B" w14:textId="77777777" w:rsidR="000832E7" w:rsidRPr="00C37C9D" w:rsidRDefault="000832E7" w:rsidP="000832E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C37C9D">
              <w:rPr>
                <w:rFonts w:ascii="Times New Roman" w:hAnsi="Times New Roman" w:cs="Times New Roman"/>
                <w:i/>
                <w:iCs/>
                <w:u w:val="single"/>
              </w:rPr>
              <w:t>Who</w:t>
            </w:r>
            <w:r w:rsidRPr="00C37C9D">
              <w:rPr>
                <w:rFonts w:ascii="Times New Roman" w:hAnsi="Times New Roman" w:cs="Times New Roman"/>
                <w:i/>
                <w:iCs/>
              </w:rPr>
              <w:t>: Demographics, Relevant past medical history, Family history, social history, medications.</w:t>
            </w:r>
          </w:p>
          <w:p w14:paraId="2A72324E" w14:textId="77777777" w:rsidR="000832E7" w:rsidRPr="00C37C9D" w:rsidRDefault="000832E7" w:rsidP="000832E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C37C9D">
              <w:rPr>
                <w:rFonts w:ascii="Times New Roman" w:hAnsi="Times New Roman" w:cs="Times New Roman"/>
                <w:i/>
                <w:iCs/>
                <w:u w:val="single"/>
              </w:rPr>
              <w:t>Key relevant findings</w:t>
            </w:r>
            <w:r w:rsidRPr="00C37C9D">
              <w:rPr>
                <w:rFonts w:ascii="Times New Roman" w:hAnsi="Times New Roman" w:cs="Times New Roman"/>
                <w:i/>
                <w:iCs/>
              </w:rPr>
              <w:t>: Clinical signs and symptoms, data.</w:t>
            </w:r>
          </w:p>
          <w:p w14:paraId="7A00B287" w14:textId="77777777" w:rsidR="000832E7" w:rsidRPr="00C37C9D" w:rsidRDefault="000832E7" w:rsidP="000832E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C37C9D">
              <w:rPr>
                <w:rFonts w:ascii="Times New Roman" w:hAnsi="Times New Roman" w:cs="Times New Roman"/>
                <w:i/>
                <w:iCs/>
                <w:u w:val="single"/>
              </w:rPr>
              <w:t>Time</w:t>
            </w:r>
            <w:r w:rsidRPr="00C37C9D">
              <w:rPr>
                <w:rFonts w:ascii="Times New Roman" w:hAnsi="Times New Roman" w:cs="Times New Roman"/>
                <w:i/>
                <w:iCs/>
              </w:rPr>
              <w:t>: Duration, temporal relationships.</w:t>
            </w:r>
          </w:p>
          <w:p w14:paraId="07CDCDDF" w14:textId="77777777" w:rsidR="000832E7" w:rsidRPr="00C37C9D" w:rsidRDefault="000832E7" w:rsidP="00775DF3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7EFE052" w14:textId="71BC77C5" w:rsidR="000832E7" w:rsidRPr="000832E7" w:rsidRDefault="000832E7" w:rsidP="00775DF3">
            <w:pPr>
              <w:rPr>
                <w:rFonts w:ascii="Times New Roman" w:hAnsi="Times New Roman" w:cs="Times New Roman"/>
                <w:i/>
                <w:iCs/>
              </w:rPr>
            </w:pPr>
            <w:r w:rsidRPr="00C37C9D">
              <w:rPr>
                <w:rFonts w:ascii="Times New Roman" w:hAnsi="Times New Roman" w:cs="Times New Roman"/>
                <w:i/>
                <w:iCs/>
              </w:rPr>
              <w:t>What are semantic qualifiers? Adjectives that provide information about clinical findings (i.e., “sharp/dull,” “acute/chronic,” etc.)</w:t>
            </w:r>
          </w:p>
        </w:tc>
        <w:tc>
          <w:tcPr>
            <w:tcW w:w="6930" w:type="dxa"/>
          </w:tcPr>
          <w:p w14:paraId="287D989C" w14:textId="77777777" w:rsidR="000832E7" w:rsidRPr="00351F2C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755464F2" w14:textId="77777777" w:rsidR="000832E7" w:rsidRPr="00351F2C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41B194AB" w14:textId="77777777" w:rsidR="000832E7" w:rsidRPr="00351F2C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54A14E98" w14:textId="77777777" w:rsidR="000832E7" w:rsidRPr="00351F2C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48BFE1E6" w14:textId="77777777" w:rsidR="000832E7" w:rsidRPr="00C82501" w:rsidRDefault="000832E7" w:rsidP="000832E7">
            <w:pPr>
              <w:rPr>
                <w:rFonts w:ascii="Times New Roman" w:hAnsi="Times New Roman" w:cs="Times New Roman"/>
              </w:rPr>
            </w:pPr>
            <w:r w:rsidRPr="00C82501">
              <w:rPr>
                <w:rFonts w:ascii="Times New Roman" w:hAnsi="Times New Roman" w:cs="Times New Roman"/>
              </w:rPr>
              <w:t xml:space="preserve">46-year-old woman with a history of hypertension </w:t>
            </w:r>
            <w:r w:rsidRPr="00C8250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not currently managed with medication</w:t>
            </w:r>
            <w:r w:rsidRPr="00C82501">
              <w:rPr>
                <w:rFonts w:ascii="Times New Roman" w:hAnsi="Times New Roman" w:cs="Times New Roman"/>
              </w:rPr>
              <w:t xml:space="preserve"> presents for a </w:t>
            </w:r>
            <w:r w:rsidRPr="00C8250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telehealth follow-up visit</w:t>
            </w:r>
            <w:r w:rsidRPr="00C82501">
              <w:rPr>
                <w:rFonts w:ascii="Times New Roman" w:hAnsi="Times New Roman" w:cs="Times New Roman"/>
              </w:rPr>
              <w:t xml:space="preserve"> regarding </w:t>
            </w:r>
            <w:r w:rsidRPr="00C8250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elevated home blood pressure readings</w:t>
            </w:r>
            <w:r w:rsidRPr="00C82501">
              <w:rPr>
                <w:rFonts w:ascii="Times New Roman" w:hAnsi="Times New Roman" w:cs="Times New Roman"/>
              </w:rPr>
              <w:t xml:space="preserve"> and reports </w:t>
            </w:r>
            <w:r w:rsidRPr="00C8250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new-onset difficulty sleeping, poor concentration, and increased stress</w:t>
            </w:r>
            <w:r w:rsidRPr="00C82501">
              <w:rPr>
                <w:rFonts w:ascii="Times New Roman" w:hAnsi="Times New Roman" w:cs="Times New Roman"/>
              </w:rPr>
              <w:t xml:space="preserve"> over the </w:t>
            </w:r>
            <w:r w:rsidRPr="00C82501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past several weeks</w:t>
            </w:r>
            <w:r w:rsidRPr="00C82501">
              <w:rPr>
                <w:rFonts w:ascii="Times New Roman" w:hAnsi="Times New Roman" w:cs="Times New Roman"/>
              </w:rPr>
              <w:t>.</w:t>
            </w:r>
          </w:p>
          <w:p w14:paraId="4B50FB54" w14:textId="77777777" w:rsidR="000832E7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7CC6A4BF" w14:textId="77777777" w:rsidR="000832E7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6BAB2E6B" w14:textId="77777777" w:rsidR="000832E7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2120A29A" w14:textId="77777777" w:rsidR="000832E7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396351F0" w14:textId="77777777" w:rsidR="000832E7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324B2873" w14:textId="77777777" w:rsidR="000832E7" w:rsidRPr="00351F2C" w:rsidRDefault="000832E7" w:rsidP="00775DF3">
            <w:pPr>
              <w:rPr>
                <w:rFonts w:ascii="Times New Roman" w:hAnsi="Times New Roman" w:cs="Times New Roman"/>
              </w:rPr>
            </w:pPr>
          </w:p>
        </w:tc>
      </w:tr>
      <w:tr w:rsidR="000832E7" w:rsidRPr="00351F2C" w14:paraId="7A921FB0" w14:textId="77777777" w:rsidTr="00775DF3">
        <w:trPr>
          <w:cantSplit/>
          <w:trHeight w:val="1134"/>
        </w:trPr>
        <w:tc>
          <w:tcPr>
            <w:tcW w:w="1105" w:type="dxa"/>
            <w:shd w:val="clear" w:color="auto" w:fill="E7E6E6" w:themeFill="background2"/>
            <w:textDirection w:val="btLr"/>
          </w:tcPr>
          <w:p w14:paraId="3AB54ADC" w14:textId="77777777" w:rsidR="000832E7" w:rsidRDefault="000832E7" w:rsidP="00775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301">
              <w:rPr>
                <w:rFonts w:ascii="Times New Roman" w:hAnsi="Times New Roman" w:cs="Times New Roman"/>
                <w:b/>
                <w:bCs/>
              </w:rPr>
              <w:t xml:space="preserve">Prioritized differential </w:t>
            </w:r>
            <w:proofErr w:type="gramStart"/>
            <w:r w:rsidRPr="00CC3301">
              <w:rPr>
                <w:rFonts w:ascii="Times New Roman" w:hAnsi="Times New Roman" w:cs="Times New Roman"/>
                <w:b/>
                <w:bCs/>
              </w:rPr>
              <w:t>diagnosis</w:t>
            </w:r>
            <w:proofErr w:type="gramEnd"/>
          </w:p>
          <w:p w14:paraId="5805AF57" w14:textId="77777777" w:rsidR="000832E7" w:rsidRDefault="000832E7" w:rsidP="00775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247924" w14:textId="77777777" w:rsidR="000832E7" w:rsidRDefault="000832E7" w:rsidP="00775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48406F" w14:textId="77777777" w:rsidR="000832E7" w:rsidRPr="00CC3301" w:rsidRDefault="000832E7" w:rsidP="00775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5" w:type="dxa"/>
          </w:tcPr>
          <w:p w14:paraId="0DDC9A99" w14:textId="77777777" w:rsidR="000832E7" w:rsidRPr="00C37C9D" w:rsidRDefault="000832E7" w:rsidP="00775DF3">
            <w:pPr>
              <w:rPr>
                <w:rFonts w:ascii="Times New Roman" w:hAnsi="Times New Roman" w:cs="Times New Roman"/>
              </w:rPr>
            </w:pPr>
            <w:r w:rsidRPr="00C37C9D">
              <w:rPr>
                <w:rFonts w:ascii="Times New Roman" w:hAnsi="Times New Roman" w:cs="Times New Roman"/>
              </w:rPr>
              <w:t>List 3 prioritized differential diagnoses.</w:t>
            </w:r>
          </w:p>
          <w:p w14:paraId="6323A2DE" w14:textId="77777777" w:rsidR="000832E7" w:rsidRPr="00C37C9D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692BFCD5" w14:textId="77777777" w:rsidR="000832E7" w:rsidRPr="00C37C9D" w:rsidRDefault="000832E7" w:rsidP="00775DF3">
            <w:pPr>
              <w:rPr>
                <w:rFonts w:ascii="Times New Roman" w:hAnsi="Times New Roman" w:cs="Times New Roman"/>
              </w:rPr>
            </w:pPr>
            <w:r w:rsidRPr="00C37C9D">
              <w:rPr>
                <w:rFonts w:ascii="Times New Roman" w:hAnsi="Times New Roman" w:cs="Times New Roman"/>
              </w:rPr>
              <w:t>Consider common, atypical, rare, and “can’t miss” diagnoses.</w:t>
            </w:r>
          </w:p>
          <w:p w14:paraId="578F5D94" w14:textId="77777777" w:rsidR="000832E7" w:rsidRPr="00CC3301" w:rsidRDefault="000832E7" w:rsidP="00775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DF54E" w14:textId="77777777" w:rsidR="000832E7" w:rsidRPr="00CC3301" w:rsidRDefault="000832E7" w:rsidP="00775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51475033" w14:textId="77777777" w:rsidR="000832E7" w:rsidRDefault="000832E7" w:rsidP="00775DF3">
            <w:pPr>
              <w:rPr>
                <w:rFonts w:ascii="Times New Roman" w:hAnsi="Times New Roman" w:cs="Times New Roman"/>
              </w:rPr>
            </w:pPr>
          </w:p>
          <w:p w14:paraId="5AEF87EC" w14:textId="77777777" w:rsidR="000832E7" w:rsidRPr="00F3063B" w:rsidRDefault="000832E7" w:rsidP="000832E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06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Major depressive disorder</w:t>
            </w:r>
          </w:p>
          <w:p w14:paraId="323E5EE6" w14:textId="77777777" w:rsidR="000832E7" w:rsidRDefault="000832E7" w:rsidP="000832E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06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Bipolar disorder</w:t>
            </w:r>
          </w:p>
          <w:p w14:paraId="5080DC59" w14:textId="26DFC605" w:rsidR="000832E7" w:rsidRPr="000832E7" w:rsidRDefault="000832E7" w:rsidP="00775DF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832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General anxiety disorder</w:t>
            </w:r>
          </w:p>
        </w:tc>
      </w:tr>
    </w:tbl>
    <w:p w14:paraId="4A342C38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4D3AA5A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D57BD69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5D73FE0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B8BE85F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6EFD292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086B1D4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457C8C6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9103969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1A9D58A" w14:textId="77777777" w:rsidR="000832E7" w:rsidRDefault="000832E7" w:rsidP="00C8250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99F88EA" w14:textId="77777777" w:rsidR="00C82501" w:rsidRDefault="00C82501" w:rsidP="00DD3FEA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31E217C" w14:textId="77777777" w:rsidR="00C82501" w:rsidRPr="008A43E6" w:rsidRDefault="00C82501" w:rsidP="00DD3FEA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D57445C" w14:textId="65E65A8F" w:rsidR="00301DDB" w:rsidRPr="000832E7" w:rsidRDefault="00301DDB" w:rsidP="00301DD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32E7">
        <w:rPr>
          <w:rFonts w:ascii="Times New Roman" w:hAnsi="Times New Roman" w:cs="Times New Roman"/>
          <w:b/>
          <w:bCs/>
          <w:sz w:val="36"/>
          <w:szCs w:val="36"/>
        </w:rPr>
        <w:t>Plan:</w:t>
      </w:r>
    </w:p>
    <w:p w14:paraId="1F16B5F3" w14:textId="454EFBAD" w:rsidR="00301DDB" w:rsidRPr="008A43E6" w:rsidRDefault="00301DD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520"/>
        <w:gridCol w:w="3510"/>
        <w:gridCol w:w="6655"/>
      </w:tblGrid>
      <w:tr w:rsidR="000832E7" w:rsidRPr="008A43E6" w14:paraId="0FA5780D" w14:textId="77777777" w:rsidTr="000832E7">
        <w:tc>
          <w:tcPr>
            <w:tcW w:w="1705" w:type="dxa"/>
            <w:shd w:val="clear" w:color="auto" w:fill="E7E6E6" w:themeFill="background2"/>
          </w:tcPr>
          <w:p w14:paraId="2E673D64" w14:textId="099B3958" w:rsidR="000832E7" w:rsidRPr="008A43E6" w:rsidRDefault="000832E7" w:rsidP="00CC50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Diagnosis #1</w:t>
            </w:r>
          </w:p>
        </w:tc>
        <w:tc>
          <w:tcPr>
            <w:tcW w:w="2520" w:type="dxa"/>
            <w:shd w:val="clear" w:color="auto" w:fill="E7E6E6" w:themeFill="background2"/>
          </w:tcPr>
          <w:p w14:paraId="08C743DE" w14:textId="7038F8C2" w:rsidR="000832E7" w:rsidRPr="008A43E6" w:rsidRDefault="000832E7" w:rsidP="00CC50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Explain the rationale for this diagnosis:</w:t>
            </w:r>
          </w:p>
        </w:tc>
        <w:tc>
          <w:tcPr>
            <w:tcW w:w="3510" w:type="dxa"/>
            <w:shd w:val="clear" w:color="auto" w:fill="E7E6E6" w:themeFill="background2"/>
          </w:tcPr>
          <w:p w14:paraId="5F835125" w14:textId="52F1BDBD" w:rsidR="000832E7" w:rsidRPr="008A43E6" w:rsidRDefault="000832E7" w:rsidP="00CC50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 of care components</w:t>
            </w:r>
          </w:p>
        </w:tc>
        <w:tc>
          <w:tcPr>
            <w:tcW w:w="6655" w:type="dxa"/>
            <w:shd w:val="clear" w:color="auto" w:fill="E7E6E6" w:themeFill="background2"/>
          </w:tcPr>
          <w:p w14:paraId="4BCCECCE" w14:textId="010222C5" w:rsidR="000832E7" w:rsidRPr="008A43E6" w:rsidRDefault="000832E7" w:rsidP="00CC50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Rationale for plan of care components</w:t>
            </w:r>
          </w:p>
        </w:tc>
      </w:tr>
      <w:tr w:rsidR="000832E7" w:rsidRPr="008A43E6" w14:paraId="46C0068A" w14:textId="77777777" w:rsidTr="000832E7">
        <w:tc>
          <w:tcPr>
            <w:tcW w:w="1705" w:type="dxa"/>
            <w:vMerge w:val="restart"/>
          </w:tcPr>
          <w:p w14:paraId="4DD02587" w14:textId="77777777" w:rsidR="000832E7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F289FD" w14:textId="172DA99A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5062">
              <w:rPr>
                <w:rFonts w:ascii="Times New Roman" w:hAnsi="Times New Roman" w:cs="Times New Roman"/>
                <w:sz w:val="22"/>
                <w:szCs w:val="22"/>
              </w:rPr>
              <w:t xml:space="preserve">Major Depressive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Disorder</w:t>
            </w:r>
          </w:p>
        </w:tc>
        <w:tc>
          <w:tcPr>
            <w:tcW w:w="2520" w:type="dxa"/>
            <w:vMerge w:val="restart"/>
          </w:tcPr>
          <w:p w14:paraId="2427ED80" w14:textId="77777777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5E08A" w14:textId="7E625C70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The Patient Health Questionnaire-9 (PHQ-9) screening tool indicated a score of 21, consistent with severe depression,</w:t>
            </w:r>
          </w:p>
          <w:p w14:paraId="0382F50E" w14:textId="77777777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B3CB3" w14:textId="53DC555B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Findings of the PHQ-9 screening tool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informed assessment using diagnostic criteria of </w:t>
            </w: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DSM-IV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major depressive episode diagnostic criteria (see note below*).  (APA, 2013)</w:t>
            </w:r>
          </w:p>
        </w:tc>
        <w:tc>
          <w:tcPr>
            <w:tcW w:w="3510" w:type="dxa"/>
          </w:tcPr>
          <w:p w14:paraId="16547ECA" w14:textId="6F5BE6B4" w:rsidR="000832E7" w:rsidRPr="008A43E6" w:rsidRDefault="000832E7" w:rsidP="00BB21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Refer to therapy </w:t>
            </w:r>
          </w:p>
        </w:tc>
        <w:tc>
          <w:tcPr>
            <w:tcW w:w="6655" w:type="dxa"/>
          </w:tcPr>
          <w:p w14:paraId="4290C41B" w14:textId="648DF2FA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For initial treatment of unipolar major depression, the combination of pharmacotherapy and psychotherapy has been found to be most efficacious in RCT’s than either of these treatments alone.  Refer </w:t>
            </w:r>
            <w:proofErr w:type="spellStart"/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>pt</w:t>
            </w:r>
            <w:proofErr w:type="spellEnd"/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 to provider skilled in therapy so they may assess patient and initiate specific therapy modality (Park et al., 2019). </w:t>
            </w:r>
          </w:p>
        </w:tc>
      </w:tr>
      <w:tr w:rsidR="000832E7" w:rsidRPr="008A43E6" w14:paraId="2B048221" w14:textId="77777777" w:rsidTr="000832E7">
        <w:tc>
          <w:tcPr>
            <w:tcW w:w="1705" w:type="dxa"/>
            <w:vMerge/>
          </w:tcPr>
          <w:p w14:paraId="2408577A" w14:textId="77777777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FC7C7F4" w14:textId="3FA47AD0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7A8EEEE" w14:textId="398E91BF" w:rsidR="000832E7" w:rsidRPr="008A43E6" w:rsidRDefault="000832E7" w:rsidP="00DD3F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Start SSRI medication: Escitalopram 10 mg </w:t>
            </w:r>
            <w:proofErr w:type="gramStart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daily</w:t>
            </w:r>
            <w:proofErr w:type="gramEnd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3E4EC417" w14:textId="2400700D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5" w:type="dxa"/>
          </w:tcPr>
          <w:p w14:paraId="6EC58822" w14:textId="6BF8A7C5" w:rsidR="000832E7" w:rsidRPr="008A43E6" w:rsidRDefault="000832E7">
            <w:pPr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</w:pPr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Severe unipolar major depression responds best to either SSRIs or SNRIs. </w:t>
            </w:r>
            <w:r w:rsidRPr="008A43E6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  <w:t>SSRIs are characterized by limited effects on autonomic system activity and a lower impact on blood pressure. Thus, they represent the safest class for pts with HTN—particularly among elderly and cardiovascular patients.</w:t>
            </w:r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 In order to minimize side effects, it is important to start the dose low and up-titrate as needed. Escitalopram has</w:t>
            </w:r>
            <w:r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 one of the most tolerable side effect profiles, including</w:t>
            </w:r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 minimal insomnia as a side effect</w:t>
            </w:r>
            <w:r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>;</w:t>
            </w:r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 given the </w:t>
            </w:r>
            <w:proofErr w:type="spellStart"/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>pt’s</w:t>
            </w:r>
            <w:proofErr w:type="spellEnd"/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 symptom profile</w:t>
            </w:r>
            <w:r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>-</w:t>
            </w:r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 including insomnia</w:t>
            </w:r>
            <w:r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- </w:t>
            </w:r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>this medication was chosen (</w:t>
            </w:r>
            <w:proofErr w:type="spellStart"/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>Calvi</w:t>
            </w:r>
            <w:proofErr w:type="spellEnd"/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 et al., 2021; </w:t>
            </w:r>
            <w:proofErr w:type="spellStart"/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>LexiComp</w:t>
            </w:r>
            <w:proofErr w:type="spellEnd"/>
            <w:r w:rsidRPr="008A43E6">
              <w:rPr>
                <w:rFonts w:ascii="Times New Roman" w:hAnsi="Times New Roman" w:cs="Times New Roman"/>
                <w:color w:val="232323"/>
                <w:sz w:val="22"/>
                <w:szCs w:val="22"/>
                <w:shd w:val="clear" w:color="auto" w:fill="FFFFFF"/>
              </w:rPr>
              <w:t xml:space="preserve"> Online, 2024).  </w:t>
            </w:r>
          </w:p>
        </w:tc>
      </w:tr>
      <w:tr w:rsidR="000832E7" w:rsidRPr="008A43E6" w14:paraId="42AC0F60" w14:textId="77777777" w:rsidTr="000832E7">
        <w:tc>
          <w:tcPr>
            <w:tcW w:w="1705" w:type="dxa"/>
            <w:vMerge/>
          </w:tcPr>
          <w:p w14:paraId="7007A1A2" w14:textId="77777777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700F68A" w14:textId="6F10BBF5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AFF0212" w14:textId="60534049" w:rsidR="000832E7" w:rsidRPr="008A43E6" w:rsidRDefault="000832E7" w:rsidP="00BE520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Labs reviewed before starting SSRI, TSH 3/3 was normal at 0.8 </w:t>
            </w:r>
            <w:proofErr w:type="spellStart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mIU</w:t>
            </w:r>
            <w:proofErr w:type="spellEnd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/L</w:t>
            </w:r>
          </w:p>
        </w:tc>
        <w:tc>
          <w:tcPr>
            <w:tcW w:w="6655" w:type="dxa"/>
          </w:tcPr>
          <w:p w14:paraId="13FF42A2" w14:textId="2D60751E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Thyroid disorder may present with symptoms similar to depression (Rabow et al., 2024)</w:t>
            </w:r>
          </w:p>
        </w:tc>
      </w:tr>
      <w:tr w:rsidR="000832E7" w:rsidRPr="008A43E6" w14:paraId="2B54477C" w14:textId="77777777" w:rsidTr="000832E7">
        <w:tc>
          <w:tcPr>
            <w:tcW w:w="1705" w:type="dxa"/>
            <w:vMerge/>
          </w:tcPr>
          <w:p w14:paraId="3554B1F9" w14:textId="77777777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DD6BD80" w14:textId="6FD0B8F6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BE2D691" w14:textId="11D220D2" w:rsidR="000832E7" w:rsidRPr="008A43E6" w:rsidRDefault="000832E7" w:rsidP="00DD3F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Provide education on </w:t>
            </w:r>
            <w:proofErr w:type="gramStart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medication</w:t>
            </w:r>
            <w:proofErr w:type="gramEnd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30B95C" w14:textId="6DF87C33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5" w:type="dxa"/>
          </w:tcPr>
          <w:p w14:paraId="7243BA70" w14:textId="6AE2ECD5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Administration and side effects reviewed. Educated pt that she needs to take medication daily and that it will likely take 2-8 weeks for symptoms to improve (Rabow et al., 2024).</w:t>
            </w:r>
          </w:p>
        </w:tc>
      </w:tr>
      <w:tr w:rsidR="000832E7" w:rsidRPr="008A43E6" w14:paraId="5847A414" w14:textId="77777777" w:rsidTr="000832E7">
        <w:tc>
          <w:tcPr>
            <w:tcW w:w="1705" w:type="dxa"/>
            <w:vMerge/>
          </w:tcPr>
          <w:p w14:paraId="6420EBA0" w14:textId="77777777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384F695" w14:textId="0D3C79FF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</w:tcPr>
          <w:p w14:paraId="3071AAD1" w14:textId="334DFA29" w:rsidR="000832E7" w:rsidRDefault="000832E7" w:rsidP="00DD3F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Educate patient on warning for increased thoughts of self-harm / suicidal ideation. Patient instructed to present to ED should this occur. </w:t>
            </w:r>
          </w:p>
          <w:p w14:paraId="7EF4AE95" w14:textId="67827679" w:rsidR="000832E7" w:rsidRPr="008A43E6" w:rsidRDefault="000832E7" w:rsidP="00BA2570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5" w:type="dxa"/>
          </w:tcPr>
          <w:p w14:paraId="0BDA7F05" w14:textId="423FC0C8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Black box warning most prevalent in pediatric patients and young adults, however, can occur when initiating treatment at any age (</w:t>
            </w:r>
            <w:proofErr w:type="spellStart"/>
            <w:r w:rsidRPr="008A43E6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  <w:t>LexiComp</w:t>
            </w:r>
            <w:proofErr w:type="spellEnd"/>
            <w:r w:rsidRPr="008A43E6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  <w:t xml:space="preserve"> Online (2024).  </w:t>
            </w:r>
          </w:p>
        </w:tc>
      </w:tr>
      <w:tr w:rsidR="000832E7" w:rsidRPr="008A43E6" w14:paraId="6A8A5A44" w14:textId="77777777" w:rsidTr="000832E7">
        <w:tc>
          <w:tcPr>
            <w:tcW w:w="1705" w:type="dxa"/>
            <w:vMerge/>
          </w:tcPr>
          <w:p w14:paraId="2FEE3763" w14:textId="77777777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B472FFE" w14:textId="5DFC379C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84E61E0" w14:textId="7879D8B7" w:rsidR="000832E7" w:rsidRPr="008A43E6" w:rsidRDefault="000832E7" w:rsidP="00DD3F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Schedule follow-up visit: 2 weeks and frequently thereafter based on symptom profile </w:t>
            </w:r>
            <w:proofErr w:type="gramStart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progression</w:t>
            </w:r>
            <w:proofErr w:type="gramEnd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5091C35" w14:textId="4DAF1568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5" w:type="dxa"/>
          </w:tcPr>
          <w:p w14:paraId="2B321438" w14:textId="77777777" w:rsidR="000832E7" w:rsidRDefault="000832E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3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Within the initial two weeks, it is recommended to conduct follow-up sessions with patients either in-person or via telephone to assess adverse effects, suicidal tendencies, medication compliance, and reinforce educational messages (Park et al., 2019)</w:t>
            </w:r>
          </w:p>
          <w:p w14:paraId="2A8DD977" w14:textId="77777777" w:rsidR="000832E7" w:rsidRDefault="000832E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948604E" w14:textId="2ACFCE7D" w:rsidR="000832E7" w:rsidRPr="008A43E6" w:rsidRDefault="000832E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Medication dose often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up-titrated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after 2 weeks (Simon et al., 2024).</w:t>
            </w:r>
          </w:p>
          <w:p w14:paraId="660FAE06" w14:textId="77777777" w:rsidR="000832E7" w:rsidRPr="008A43E6" w:rsidRDefault="000832E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1AED7C3" w14:textId="4D2B5555" w:rsidR="000832E7" w:rsidRPr="008A43E6" w:rsidRDefault="000832E7" w:rsidP="00A55B8F">
            <w:pPr>
              <w:pStyle w:val="para"/>
              <w:spacing w:before="0" w:beforeAutospacing="0" w:line="360" w:lineRule="atLeast"/>
              <w:rPr>
                <w:color w:val="343536"/>
                <w:sz w:val="22"/>
                <w:szCs w:val="22"/>
              </w:rPr>
            </w:pPr>
            <w:r w:rsidRPr="008A43E6">
              <w:rPr>
                <w:color w:val="343536"/>
                <w:sz w:val="22"/>
                <w:szCs w:val="22"/>
              </w:rPr>
              <w:t xml:space="preserve">The first goal of treatment should be a 5-point decrease in PHQ-9, which is considered a clinically significant improvement. A general target goal </w:t>
            </w:r>
            <w:r w:rsidRPr="008A43E6">
              <w:rPr>
                <w:color w:val="343536"/>
                <w:sz w:val="22"/>
                <w:szCs w:val="22"/>
              </w:rPr>
              <w:lastRenderedPageBreak/>
              <w:t>(which is difficult to attain) should be a 5-point decrease in PHQ-9 score every month until a score below 5 is attained. Patients should be evaluated with a repeat PHQ-9 once per month until remission is achieved (PHQ-9 &lt;5) (Raj et al., 2019)</w:t>
            </w:r>
          </w:p>
          <w:p w14:paraId="598BFD89" w14:textId="21B2A63A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2E7" w:rsidRPr="008A43E6" w14:paraId="6A0FD02D" w14:textId="77777777" w:rsidTr="000832E7">
        <w:tc>
          <w:tcPr>
            <w:tcW w:w="1705" w:type="dxa"/>
          </w:tcPr>
          <w:p w14:paraId="15FB9F00" w14:textId="77777777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8B5D950" w14:textId="60CF9107" w:rsidR="000832E7" w:rsidRPr="008A43E6" w:rsidRDefault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35EC082" w14:textId="010F3BD4" w:rsidR="000832E7" w:rsidRPr="008A43E6" w:rsidRDefault="000832E7" w:rsidP="00A55B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Discussed</w:t>
            </w: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non-pharmacological interventions including increase in physical activity – patient agrees to daily walks. </w:t>
            </w:r>
          </w:p>
        </w:tc>
        <w:tc>
          <w:tcPr>
            <w:tcW w:w="6655" w:type="dxa"/>
          </w:tcPr>
          <w:p w14:paraId="750C0B06" w14:textId="49525F4A" w:rsidR="000832E7" w:rsidRPr="00BA2570" w:rsidRDefault="000832E7">
            <w:pPr>
              <w:rPr>
                <w:rFonts w:ascii="Times" w:hAnsi="Times" w:cs="Times New Roman"/>
                <w:sz w:val="22"/>
                <w:szCs w:val="22"/>
              </w:rPr>
            </w:pPr>
            <w:r w:rsidRPr="00BA2570">
              <w:rPr>
                <w:rFonts w:ascii="Times" w:hAnsi="Times"/>
              </w:rPr>
              <w:t>Structured exercise may augment the benefits of medication or psychotherapy (Simon et al., 2024)</w:t>
            </w:r>
          </w:p>
        </w:tc>
      </w:tr>
    </w:tbl>
    <w:p w14:paraId="45686B32" w14:textId="51E54816" w:rsidR="00301DDB" w:rsidRPr="008A43E6" w:rsidRDefault="00301DDB">
      <w:pPr>
        <w:rPr>
          <w:rFonts w:ascii="Times New Roman" w:hAnsi="Times New Roman" w:cs="Times New Roman"/>
          <w:sz w:val="22"/>
          <w:szCs w:val="22"/>
        </w:rPr>
      </w:pPr>
    </w:p>
    <w:p w14:paraId="640B558C" w14:textId="77777777" w:rsidR="00301DDB" w:rsidRPr="008A43E6" w:rsidRDefault="00301DD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520"/>
        <w:gridCol w:w="3510"/>
        <w:gridCol w:w="6655"/>
      </w:tblGrid>
      <w:tr w:rsidR="000832E7" w:rsidRPr="008A43E6" w14:paraId="60A8E53F" w14:textId="77777777" w:rsidTr="000832E7">
        <w:tc>
          <w:tcPr>
            <w:tcW w:w="1705" w:type="dxa"/>
            <w:shd w:val="clear" w:color="auto" w:fill="E7E6E6" w:themeFill="background2"/>
          </w:tcPr>
          <w:p w14:paraId="0DE5ED59" w14:textId="07332188" w:rsidR="000832E7" w:rsidRPr="008A43E6" w:rsidRDefault="000832E7" w:rsidP="00CC50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Diagnos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8A43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#2</w:t>
            </w:r>
          </w:p>
        </w:tc>
        <w:tc>
          <w:tcPr>
            <w:tcW w:w="2520" w:type="dxa"/>
            <w:shd w:val="clear" w:color="auto" w:fill="E7E6E6" w:themeFill="background2"/>
          </w:tcPr>
          <w:p w14:paraId="78CC1FF4" w14:textId="6AF6431A" w:rsidR="000832E7" w:rsidRPr="008A43E6" w:rsidRDefault="000832E7" w:rsidP="00CC50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Explain the rationale for this diagnosis:</w:t>
            </w:r>
          </w:p>
        </w:tc>
        <w:tc>
          <w:tcPr>
            <w:tcW w:w="3510" w:type="dxa"/>
            <w:shd w:val="clear" w:color="auto" w:fill="E7E6E6" w:themeFill="background2"/>
          </w:tcPr>
          <w:p w14:paraId="48CF2A73" w14:textId="73D9778C" w:rsidR="000832E7" w:rsidRPr="008A43E6" w:rsidRDefault="000832E7" w:rsidP="00CC50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 of care components</w:t>
            </w:r>
          </w:p>
        </w:tc>
        <w:tc>
          <w:tcPr>
            <w:tcW w:w="6655" w:type="dxa"/>
            <w:shd w:val="clear" w:color="auto" w:fill="E7E6E6" w:themeFill="background2"/>
          </w:tcPr>
          <w:p w14:paraId="4E9C63AE" w14:textId="77777777" w:rsidR="000832E7" w:rsidRPr="008A43E6" w:rsidRDefault="000832E7" w:rsidP="00CC50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Rationale for plan of care components</w:t>
            </w:r>
          </w:p>
        </w:tc>
      </w:tr>
      <w:tr w:rsidR="000832E7" w:rsidRPr="008A43E6" w14:paraId="356ACF9E" w14:textId="77777777" w:rsidTr="000832E7">
        <w:tc>
          <w:tcPr>
            <w:tcW w:w="1705" w:type="dxa"/>
            <w:vMerge w:val="restart"/>
          </w:tcPr>
          <w:p w14:paraId="4A6F9653" w14:textId="0EC7356D" w:rsidR="000832E7" w:rsidRPr="008A43E6" w:rsidRDefault="000832E7" w:rsidP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Stage 2 Hypertension </w:t>
            </w:r>
          </w:p>
        </w:tc>
        <w:tc>
          <w:tcPr>
            <w:tcW w:w="2520" w:type="dxa"/>
            <w:vMerge w:val="restart"/>
          </w:tcPr>
          <w:p w14:paraId="04E0C9C5" w14:textId="5B796A9C" w:rsidR="000832E7" w:rsidRPr="000832E7" w:rsidRDefault="000832E7" w:rsidP="000832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PMH of HTN treated with lifestyle changes; BP recently 142/78 and 132/74; if BP in multiple categories, assign to higher category (AHA/ ACC, 2017)</w:t>
            </w:r>
          </w:p>
        </w:tc>
        <w:tc>
          <w:tcPr>
            <w:tcW w:w="3510" w:type="dxa"/>
          </w:tcPr>
          <w:p w14:paraId="35E6D255" w14:textId="49F2DBA3" w:rsidR="000832E7" w:rsidRPr="008A43E6" w:rsidRDefault="000832E7" w:rsidP="00E2591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Instructed </w:t>
            </w:r>
            <w:proofErr w:type="spellStart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to keep log of daily BP readings; pt to call clinic if BP &gt;150/90 or if she begins to experience any headaches or </w:t>
            </w:r>
            <w:proofErr w:type="gramStart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dizziness</w:t>
            </w:r>
            <w:proofErr w:type="gramEnd"/>
          </w:p>
          <w:p w14:paraId="731FDB18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5" w:type="dxa"/>
          </w:tcPr>
          <w:p w14:paraId="0FE504DA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Diagnosis of HTN based on 2 or more readings; out of office self-monitoring readings are encouraged to confirm diagnosis (ACC/ AHA, 2017).  </w:t>
            </w:r>
          </w:p>
          <w:p w14:paraId="4325CD77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10D968" w14:textId="35014430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Given the concurrent depressive symptoms and initiation of antidepressant medication, opt for additional readings to have more global picture of BP at home before aggressive treatment. </w:t>
            </w:r>
          </w:p>
          <w:p w14:paraId="51521F45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52E38" w14:textId="7FAFEE82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Instructed pt on red flags for HTN and how to safely proceed should she experience any of them before follow-up visit. </w:t>
            </w:r>
          </w:p>
        </w:tc>
      </w:tr>
      <w:tr w:rsidR="000832E7" w:rsidRPr="008A43E6" w14:paraId="7D456BAC" w14:textId="77777777" w:rsidTr="000832E7">
        <w:tc>
          <w:tcPr>
            <w:tcW w:w="1705" w:type="dxa"/>
            <w:vMerge/>
          </w:tcPr>
          <w:p w14:paraId="7B79CF38" w14:textId="77777777" w:rsidR="000832E7" w:rsidRPr="008A43E6" w:rsidRDefault="000832E7" w:rsidP="00FD64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7DBB1DCB" w14:textId="77777777" w:rsidR="000832E7" w:rsidRPr="008A43E6" w:rsidRDefault="000832E7" w:rsidP="00E2591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B0F8471" w14:textId="3EA93DF8" w:rsidR="000832E7" w:rsidRPr="008A43E6" w:rsidRDefault="000832E7" w:rsidP="00E2591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Pt denies red flags for HTN including vision changes, dizziness, headache</w:t>
            </w:r>
          </w:p>
        </w:tc>
        <w:tc>
          <w:tcPr>
            <w:tcW w:w="6655" w:type="dxa"/>
          </w:tcPr>
          <w:p w14:paraId="6D58A882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2E7" w:rsidRPr="008A43E6" w14:paraId="40B4FE2C" w14:textId="77777777" w:rsidTr="000832E7">
        <w:tc>
          <w:tcPr>
            <w:tcW w:w="1705" w:type="dxa"/>
            <w:vMerge/>
          </w:tcPr>
          <w:p w14:paraId="5DABBFDB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BB8B99C" w14:textId="77777777" w:rsidR="000832E7" w:rsidRPr="008A43E6" w:rsidRDefault="000832E7" w:rsidP="008A43E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0EC1E23" w14:textId="0E72F8A0" w:rsidR="000832E7" w:rsidRPr="008A43E6" w:rsidRDefault="000832E7" w:rsidP="008A43E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Encouraged physical </w:t>
            </w:r>
            <w:proofErr w:type="gramStart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activity</w:t>
            </w:r>
            <w:proofErr w:type="gramEnd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4CD592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5" w:type="dxa"/>
          </w:tcPr>
          <w:p w14:paraId="27AA0600" w14:textId="56C74B10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Lifestyle modifications recommended for stage 1 and 2 HTN treatment, and for prevention (ACC/ AHA, 2017).  In addition, physical activity may improve mood (Park eta al., 2019).  </w:t>
            </w:r>
          </w:p>
        </w:tc>
      </w:tr>
      <w:tr w:rsidR="000832E7" w:rsidRPr="008A43E6" w14:paraId="2650641E" w14:textId="77777777" w:rsidTr="000832E7">
        <w:tc>
          <w:tcPr>
            <w:tcW w:w="1705" w:type="dxa"/>
            <w:vMerge/>
          </w:tcPr>
          <w:p w14:paraId="7A87C575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7AE366E" w14:textId="77777777" w:rsidR="000832E7" w:rsidRPr="008A43E6" w:rsidRDefault="000832E7" w:rsidP="008A43E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5AF13C9" w14:textId="28B58B50" w:rsidR="000832E7" w:rsidRPr="008A43E6" w:rsidRDefault="000832E7" w:rsidP="008A43E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In future visit: Continue education on sodium intake, DASH diet, healthy </w:t>
            </w:r>
            <w:proofErr w:type="gramStart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lifestyle</w:t>
            </w:r>
            <w:proofErr w:type="gramEnd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896F0A4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5" w:type="dxa"/>
          </w:tcPr>
          <w:p w14:paraId="019AAFA1" w14:textId="740B5A72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DASH diet and sodium intake </w:t>
            </w:r>
            <w:proofErr w:type="gramStart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to  &lt;</w:t>
            </w:r>
            <w:proofErr w:type="gramEnd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1,500mg a day recommended for HTN (ACC/AHA, 2017).  </w:t>
            </w:r>
            <w:proofErr w:type="spellStart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>Opt</w:t>
            </w:r>
            <w:proofErr w:type="spellEnd"/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 to defer this re-education for follow-up visit when the pt’s depression is better treated. </w:t>
            </w:r>
          </w:p>
        </w:tc>
      </w:tr>
      <w:tr w:rsidR="000832E7" w:rsidRPr="008A43E6" w14:paraId="34C87331" w14:textId="77777777" w:rsidTr="000832E7">
        <w:tc>
          <w:tcPr>
            <w:tcW w:w="1705" w:type="dxa"/>
            <w:vMerge/>
          </w:tcPr>
          <w:p w14:paraId="751DA851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1F4D02B" w14:textId="77777777" w:rsidR="000832E7" w:rsidRPr="008A43E6" w:rsidRDefault="000832E7" w:rsidP="008A43E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DCF1378" w14:textId="516B06E8" w:rsidR="000832E7" w:rsidRPr="008A43E6" w:rsidRDefault="000832E7" w:rsidP="008A43E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Follow-up 2 weeks </w:t>
            </w:r>
          </w:p>
          <w:p w14:paraId="5C2A8AFB" w14:textId="77777777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5" w:type="dxa"/>
          </w:tcPr>
          <w:p w14:paraId="67229559" w14:textId="4AD8B206" w:rsidR="000832E7" w:rsidRPr="008A43E6" w:rsidRDefault="000832E7" w:rsidP="00DA3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3E6">
              <w:rPr>
                <w:rFonts w:ascii="Times New Roman" w:hAnsi="Times New Roman" w:cs="Times New Roman"/>
                <w:sz w:val="22"/>
                <w:szCs w:val="22"/>
              </w:rPr>
              <w:t xml:space="preserve">Recheck BP and review log at 2 week follow up visit.    </w:t>
            </w:r>
          </w:p>
        </w:tc>
      </w:tr>
    </w:tbl>
    <w:p w14:paraId="3FDAC50F" w14:textId="77777777" w:rsidR="005F3BAB" w:rsidRPr="008A43E6" w:rsidRDefault="005F3BAB">
      <w:pPr>
        <w:rPr>
          <w:rFonts w:ascii="Times New Roman" w:hAnsi="Times New Roman" w:cs="Times New Roman"/>
          <w:sz w:val="22"/>
          <w:szCs w:val="22"/>
        </w:rPr>
      </w:pPr>
    </w:p>
    <w:p w14:paraId="4D99B4E6" w14:textId="77777777" w:rsidR="005F3BAB" w:rsidRPr="008A43E6" w:rsidRDefault="005F3BA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0832E7" w14:paraId="537513C1" w14:textId="77777777" w:rsidTr="00775DF3">
        <w:tc>
          <w:tcPr>
            <w:tcW w:w="14395" w:type="dxa"/>
            <w:shd w:val="clear" w:color="auto" w:fill="E7E6E6" w:themeFill="background2"/>
          </w:tcPr>
          <w:p w14:paraId="35E2A8DE" w14:textId="77777777" w:rsidR="000832E7" w:rsidRPr="00CC3301" w:rsidRDefault="000832E7" w:rsidP="00775D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301">
              <w:rPr>
                <w:rFonts w:ascii="Times New Roman" w:hAnsi="Times New Roman" w:cs="Times New Roman"/>
                <w:b/>
                <w:bCs/>
              </w:rPr>
              <w:t>Citations</w:t>
            </w:r>
          </w:p>
        </w:tc>
      </w:tr>
      <w:tr w:rsidR="000832E7" w14:paraId="3EB63742" w14:textId="77777777" w:rsidTr="00775DF3">
        <w:tc>
          <w:tcPr>
            <w:tcW w:w="14395" w:type="dxa"/>
          </w:tcPr>
          <w:p w14:paraId="4F6FA070" w14:textId="77777777" w:rsidR="00C76CBC" w:rsidRDefault="00C76CBC" w:rsidP="005D6C59">
            <w:pPr>
              <w:pStyle w:val="NormalWeb"/>
            </w:pPr>
          </w:p>
          <w:p w14:paraId="713A80C9" w14:textId="33F815F8" w:rsidR="005D6C59" w:rsidRDefault="005D6C59" w:rsidP="005D6C59">
            <w:pPr>
              <w:pStyle w:val="NormalWeb"/>
            </w:pPr>
            <w:proofErr w:type="spellStart"/>
            <w:r>
              <w:t>Calvi</w:t>
            </w:r>
            <w:proofErr w:type="spellEnd"/>
            <w:r>
              <w:t xml:space="preserve">, A., </w:t>
            </w:r>
            <w:proofErr w:type="spellStart"/>
            <w:r>
              <w:t>Fischetti</w:t>
            </w:r>
            <w:proofErr w:type="spellEnd"/>
            <w:r>
              <w:t xml:space="preserve">, I., </w:t>
            </w:r>
            <w:proofErr w:type="spellStart"/>
            <w:r>
              <w:t>Verzicco</w:t>
            </w:r>
            <w:proofErr w:type="spellEnd"/>
            <w:r>
              <w:t xml:space="preserve">, I., </w:t>
            </w:r>
            <w:proofErr w:type="spellStart"/>
            <w:r>
              <w:t>Belvederi</w:t>
            </w:r>
            <w:proofErr w:type="spellEnd"/>
            <w:r>
              <w:t xml:space="preserve"> </w:t>
            </w:r>
            <w:proofErr w:type="spellStart"/>
            <w:r>
              <w:t>Murri</w:t>
            </w:r>
            <w:proofErr w:type="spellEnd"/>
            <w:r>
              <w:t xml:space="preserve">, M., </w:t>
            </w:r>
            <w:proofErr w:type="spellStart"/>
            <w:r>
              <w:t>Zanetidou</w:t>
            </w:r>
            <w:proofErr w:type="spellEnd"/>
            <w:r>
              <w:t xml:space="preserve">, S., Volpi, R., </w:t>
            </w:r>
            <w:proofErr w:type="spellStart"/>
            <w:r>
              <w:t>Coghi</w:t>
            </w:r>
            <w:proofErr w:type="spellEnd"/>
            <w:r>
              <w:t xml:space="preserve">, P., Tedeschi, S., Amore, M., &amp; </w:t>
            </w:r>
            <w:proofErr w:type="spellStart"/>
            <w:r>
              <w:t>Cabassi</w:t>
            </w:r>
            <w:proofErr w:type="spellEnd"/>
            <w:r>
              <w:t xml:space="preserve">, A. (2021). Antidepressant drugs effects on blood pressure. </w:t>
            </w:r>
            <w:r>
              <w:rPr>
                <w:rStyle w:val="Emphasis"/>
              </w:rPr>
              <w:t>Frontiers in Cardiovascular Medicine, 8</w:t>
            </w:r>
            <w:r>
              <w:t xml:space="preserve">, 704281. </w:t>
            </w:r>
            <w:hyperlink r:id="rId7" w:tgtFrame="_new" w:history="1">
              <w:r>
                <w:rPr>
                  <w:rStyle w:val="Hyperlink"/>
                </w:rPr>
                <w:t>https://doi.org/10.3389/fcvm.2021.704281</w:t>
              </w:r>
            </w:hyperlink>
          </w:p>
          <w:p w14:paraId="6C6B8D89" w14:textId="77777777" w:rsidR="005D6C59" w:rsidRDefault="005D6C59" w:rsidP="005D6C59">
            <w:pPr>
              <w:pStyle w:val="NormalWeb"/>
            </w:pPr>
            <w:proofErr w:type="spellStart"/>
            <w:r>
              <w:t>LexiComp</w:t>
            </w:r>
            <w:proofErr w:type="spellEnd"/>
            <w:r>
              <w:t xml:space="preserve"> Online. (2024). </w:t>
            </w:r>
            <w:r>
              <w:rPr>
                <w:rStyle w:val="Emphasis"/>
              </w:rPr>
              <w:t>Online healthcare drug prescribing resource</w:t>
            </w:r>
            <w:r>
              <w:t xml:space="preserve">. Wolters Kluwer. </w:t>
            </w:r>
            <w:hyperlink r:id="rId8" w:tgtFrame="_new" w:history="1">
              <w:r>
                <w:rPr>
                  <w:rStyle w:val="Hyperlink"/>
                </w:rPr>
                <w:t>https://go.wolterskluwer.com/LCO-Learn-More.html</w:t>
              </w:r>
            </w:hyperlink>
          </w:p>
          <w:p w14:paraId="7521BDF9" w14:textId="77777777" w:rsidR="005D6C59" w:rsidRDefault="005D6C59" w:rsidP="005D6C59">
            <w:pPr>
              <w:pStyle w:val="NormalWeb"/>
            </w:pPr>
            <w:r>
              <w:t xml:space="preserve">Park, L. T., &amp; Zarate, C. A., Jr. (2019). Depression in the primary care setting. </w:t>
            </w:r>
            <w:r>
              <w:rPr>
                <w:rStyle w:val="Emphasis"/>
              </w:rPr>
              <w:t>The New England Journal of Medicine, 380</w:t>
            </w:r>
            <w:r>
              <w:t xml:space="preserve">(6), 559–568. </w:t>
            </w:r>
            <w:hyperlink r:id="rId9" w:tgtFrame="_new" w:history="1">
              <w:r>
                <w:rPr>
                  <w:rStyle w:val="Hyperlink"/>
                </w:rPr>
                <w:t>https://doi.org/10.1056/NEJMcp1712493</w:t>
              </w:r>
            </w:hyperlink>
          </w:p>
          <w:p w14:paraId="2A81E761" w14:textId="77777777" w:rsidR="005D6C59" w:rsidRDefault="005D6C59" w:rsidP="005D6C59">
            <w:pPr>
              <w:pStyle w:val="NormalWeb"/>
            </w:pPr>
            <w:proofErr w:type="spellStart"/>
            <w:r>
              <w:t>Rabow</w:t>
            </w:r>
            <w:proofErr w:type="spellEnd"/>
            <w:r>
              <w:t xml:space="preserve">, M. W., Bischoff, K. E., </w:t>
            </w:r>
            <w:proofErr w:type="spellStart"/>
            <w:r>
              <w:t>Pantilat</w:t>
            </w:r>
            <w:proofErr w:type="spellEnd"/>
            <w:r>
              <w:t xml:space="preserve">, S. Z., Shah, A., </w:t>
            </w:r>
            <w:proofErr w:type="spellStart"/>
            <w:r>
              <w:t>Poree</w:t>
            </w:r>
            <w:proofErr w:type="spellEnd"/>
            <w:r>
              <w:t xml:space="preserve">, L., &amp; </w:t>
            </w:r>
            <w:proofErr w:type="spellStart"/>
            <w:r>
              <w:t>Sinavsky</w:t>
            </w:r>
            <w:proofErr w:type="spellEnd"/>
            <w:r>
              <w:t xml:space="preserve">, K. (2024). Depression &amp; anxiety. In M. A. Papadakis, S. J. McPhee, M. W. </w:t>
            </w:r>
            <w:proofErr w:type="spellStart"/>
            <w:r>
              <w:t>Rabow</w:t>
            </w:r>
            <w:proofErr w:type="spellEnd"/>
            <w:r>
              <w:t xml:space="preserve">, K. R. McQuaid, &amp; M. Gandhi (Eds.), </w:t>
            </w:r>
            <w:r>
              <w:rPr>
                <w:rStyle w:val="Emphasis"/>
              </w:rPr>
              <w:t>Current medical diagnosis &amp; treatment 2024</w:t>
            </w:r>
            <w:r>
              <w:t xml:space="preserve">. McGraw Hill. </w:t>
            </w:r>
            <w:hyperlink r:id="rId10" w:tgtFrame="_new" w:history="1">
              <w:r>
                <w:rPr>
                  <w:rStyle w:val="Hyperlink"/>
                </w:rPr>
                <w:t>https://accessmedicine-mhmedical-com.proxy.cc.uic.edu/content.aspx?bookid=3343&amp;sectionid=279901378</w:t>
              </w:r>
            </w:hyperlink>
          </w:p>
          <w:p w14:paraId="549639B2" w14:textId="77777777" w:rsidR="005D6C59" w:rsidRDefault="005D6C59" w:rsidP="005D6C59">
            <w:pPr>
              <w:pStyle w:val="NormalWeb"/>
            </w:pPr>
            <w:r>
              <w:t xml:space="preserve">Raj, Y., Christensen, J. F., &amp; Feldman, M. D. (2019). Depression. In M. D. Feldman, J. F. Christensen, J. M. Satterfield, &amp; R. </w:t>
            </w:r>
            <w:proofErr w:type="spellStart"/>
            <w:r>
              <w:t>Laponis</w:t>
            </w:r>
            <w:proofErr w:type="spellEnd"/>
            <w:r>
              <w:t xml:space="preserve"> (Eds.), </w:t>
            </w:r>
            <w:r>
              <w:rPr>
                <w:rStyle w:val="Emphasis"/>
              </w:rPr>
              <w:t>Behavioral medicine: A guide for clinical practice</w:t>
            </w:r>
            <w:r>
              <w:t xml:space="preserve"> (5th ed.). McGraw Hill. </w:t>
            </w:r>
            <w:hyperlink r:id="rId11" w:tgtFrame="_new" w:history="1">
              <w:r>
                <w:rPr>
                  <w:rStyle w:val="Hyperlink"/>
                </w:rPr>
                <w:t>https://accessmedicine-mhmedical-com.proxy.cc.uic.edu/content.aspx?bookid=2747&amp;sectionid=230250553</w:t>
              </w:r>
            </w:hyperlink>
          </w:p>
          <w:p w14:paraId="22304A1E" w14:textId="77777777" w:rsidR="005D6C59" w:rsidRDefault="005D6C59" w:rsidP="005D6C59">
            <w:pPr>
              <w:pStyle w:val="NormalWeb"/>
            </w:pPr>
            <w:r>
              <w:t xml:space="preserve">Simon, G. E., Moise, N., &amp; Mohr, D. C. (2024). Management of depression in adults: A review. </w:t>
            </w:r>
            <w:r>
              <w:rPr>
                <w:rStyle w:val="Emphasis"/>
              </w:rPr>
              <w:t>JAMA, 332</w:t>
            </w:r>
            <w:r>
              <w:t xml:space="preserve">(2), 141–152. </w:t>
            </w:r>
            <w:hyperlink r:id="rId12" w:tgtFrame="_new" w:history="1">
              <w:r>
                <w:rPr>
                  <w:rStyle w:val="Hyperlink"/>
                </w:rPr>
                <w:t>https://doi.org/10.1001/jama.2024.5756</w:t>
              </w:r>
            </w:hyperlink>
          </w:p>
          <w:p w14:paraId="31981C51" w14:textId="77777777" w:rsidR="005D6C59" w:rsidRDefault="005D6C59" w:rsidP="005D6C59">
            <w:pPr>
              <w:pStyle w:val="NormalWeb"/>
            </w:pPr>
            <w:r>
              <w:t xml:space="preserve">Spitzer, R. L., Williams, J. B. W., &amp; Kroenke, K. (n.d.). </w:t>
            </w:r>
            <w:r>
              <w:rPr>
                <w:rStyle w:val="Emphasis"/>
              </w:rPr>
              <w:t>Patient Health Questionnaire-9</w:t>
            </w:r>
            <w:r>
              <w:t xml:space="preserve">. National Institute on Drug Abuse. </w:t>
            </w:r>
            <w:hyperlink r:id="rId13" w:tgtFrame="_new" w:history="1">
              <w:r>
                <w:rPr>
                  <w:rStyle w:val="Hyperlink"/>
                </w:rPr>
                <w:t>https://www.drugabuse.gov/nidamed-medical-health-professionals</w:t>
              </w:r>
            </w:hyperlink>
          </w:p>
          <w:p w14:paraId="774C21B6" w14:textId="4338FE77" w:rsidR="000832E7" w:rsidRDefault="000832E7" w:rsidP="005D6C59">
            <w:pPr>
              <w:rPr>
                <w:rFonts w:ascii="Times New Roman" w:hAnsi="Times New Roman" w:cs="Times New Roman"/>
              </w:rPr>
            </w:pPr>
          </w:p>
        </w:tc>
      </w:tr>
    </w:tbl>
    <w:p w14:paraId="7106A473" w14:textId="77777777" w:rsidR="000832E7" w:rsidRDefault="000832E7" w:rsidP="000249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34B6C0" w14:textId="77777777" w:rsidR="000832E7" w:rsidRDefault="000832E7" w:rsidP="000249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764B270" w14:textId="77777777" w:rsidR="008E3FE1" w:rsidRPr="001F68B1" w:rsidRDefault="008E3FE1" w:rsidP="0014365F">
      <w:pPr>
        <w:spacing w:line="480" w:lineRule="auto"/>
        <w:rPr>
          <w:rFonts w:ascii="Times New Roman" w:hAnsi="Times New Roman" w:cs="Times New Roman"/>
        </w:rPr>
      </w:pPr>
    </w:p>
    <w:p w14:paraId="5B49C2CA" w14:textId="73FC09F8" w:rsidR="007555FC" w:rsidRPr="001F68B1" w:rsidRDefault="007555FC" w:rsidP="0014365F">
      <w:pPr>
        <w:spacing w:line="480" w:lineRule="auto"/>
        <w:rPr>
          <w:rFonts w:ascii="Times New Roman" w:hAnsi="Times New Roman" w:cs="Times New Roman"/>
        </w:rPr>
      </w:pPr>
    </w:p>
    <w:sectPr w:rsidR="007555FC" w:rsidRPr="001F68B1" w:rsidSect="00C82501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7475" w14:textId="77777777" w:rsidR="007C51C3" w:rsidRDefault="007C51C3" w:rsidP="0028395D">
      <w:r>
        <w:separator/>
      </w:r>
    </w:p>
  </w:endnote>
  <w:endnote w:type="continuationSeparator" w:id="0">
    <w:p w14:paraId="3B7D6824" w14:textId="77777777" w:rsidR="007C51C3" w:rsidRDefault="007C51C3" w:rsidP="0028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654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AD06D" w14:textId="34ECDF97" w:rsidR="0028395D" w:rsidRDefault="002839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2ED4F8" w14:textId="77777777" w:rsidR="0028395D" w:rsidRDefault="00283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AF2A" w14:textId="77777777" w:rsidR="007C51C3" w:rsidRDefault="007C51C3" w:rsidP="0028395D">
      <w:r>
        <w:separator/>
      </w:r>
    </w:p>
  </w:footnote>
  <w:footnote w:type="continuationSeparator" w:id="0">
    <w:p w14:paraId="4BDC84CD" w14:textId="77777777" w:rsidR="007C51C3" w:rsidRDefault="007C51C3" w:rsidP="0028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3B3"/>
    <w:multiLevelType w:val="hybridMultilevel"/>
    <w:tmpl w:val="A71E96D6"/>
    <w:lvl w:ilvl="0" w:tplc="7A64E2D8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02DE"/>
    <w:multiLevelType w:val="hybridMultilevel"/>
    <w:tmpl w:val="04C66748"/>
    <w:lvl w:ilvl="0" w:tplc="40D829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D4A55"/>
    <w:multiLevelType w:val="hybridMultilevel"/>
    <w:tmpl w:val="FF724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9D7"/>
    <w:multiLevelType w:val="hybridMultilevel"/>
    <w:tmpl w:val="5AA4B15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1065"/>
    <w:multiLevelType w:val="multilevel"/>
    <w:tmpl w:val="6392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F16D9"/>
    <w:multiLevelType w:val="multilevel"/>
    <w:tmpl w:val="69B8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36A56"/>
    <w:multiLevelType w:val="hybridMultilevel"/>
    <w:tmpl w:val="A0A20B60"/>
    <w:lvl w:ilvl="0" w:tplc="ACFA96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520DF"/>
    <w:multiLevelType w:val="multilevel"/>
    <w:tmpl w:val="9BF2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90319"/>
    <w:multiLevelType w:val="hybridMultilevel"/>
    <w:tmpl w:val="6B645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C3176"/>
    <w:multiLevelType w:val="hybridMultilevel"/>
    <w:tmpl w:val="09F08B38"/>
    <w:lvl w:ilvl="0" w:tplc="38C2F2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1E7EBB"/>
    <w:multiLevelType w:val="hybridMultilevel"/>
    <w:tmpl w:val="EC52C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A2928"/>
    <w:multiLevelType w:val="multilevel"/>
    <w:tmpl w:val="2298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743444">
    <w:abstractNumId w:val="0"/>
  </w:num>
  <w:num w:numId="2" w16cid:durableId="1398744967">
    <w:abstractNumId w:val="6"/>
  </w:num>
  <w:num w:numId="3" w16cid:durableId="1542598081">
    <w:abstractNumId w:val="2"/>
  </w:num>
  <w:num w:numId="4" w16cid:durableId="795876880">
    <w:abstractNumId w:val="10"/>
  </w:num>
  <w:num w:numId="5" w16cid:durableId="393817862">
    <w:abstractNumId w:val="11"/>
  </w:num>
  <w:num w:numId="6" w16cid:durableId="1543131557">
    <w:abstractNumId w:val="5"/>
  </w:num>
  <w:num w:numId="7" w16cid:durableId="1640301583">
    <w:abstractNumId w:val="4"/>
  </w:num>
  <w:num w:numId="8" w16cid:durableId="936984194">
    <w:abstractNumId w:val="7"/>
  </w:num>
  <w:num w:numId="9" w16cid:durableId="482476896">
    <w:abstractNumId w:val="9"/>
  </w:num>
  <w:num w:numId="10" w16cid:durableId="604338745">
    <w:abstractNumId w:val="3"/>
  </w:num>
  <w:num w:numId="11" w16cid:durableId="782962989">
    <w:abstractNumId w:val="1"/>
  </w:num>
  <w:num w:numId="12" w16cid:durableId="1575553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DB"/>
    <w:rsid w:val="00003413"/>
    <w:rsid w:val="00011188"/>
    <w:rsid w:val="00024966"/>
    <w:rsid w:val="00034E2F"/>
    <w:rsid w:val="000420EA"/>
    <w:rsid w:val="00042F00"/>
    <w:rsid w:val="00043357"/>
    <w:rsid w:val="00044859"/>
    <w:rsid w:val="000468BF"/>
    <w:rsid w:val="000530AC"/>
    <w:rsid w:val="000677F2"/>
    <w:rsid w:val="00067B02"/>
    <w:rsid w:val="0007186F"/>
    <w:rsid w:val="000832E7"/>
    <w:rsid w:val="000874A3"/>
    <w:rsid w:val="00091DED"/>
    <w:rsid w:val="000942EC"/>
    <w:rsid w:val="000C51B4"/>
    <w:rsid w:val="000D71DA"/>
    <w:rsid w:val="00105A08"/>
    <w:rsid w:val="00143298"/>
    <w:rsid w:val="0014365F"/>
    <w:rsid w:val="001537C2"/>
    <w:rsid w:val="00155C44"/>
    <w:rsid w:val="001A3F51"/>
    <w:rsid w:val="001B2FB5"/>
    <w:rsid w:val="001D54D5"/>
    <w:rsid w:val="001D5B45"/>
    <w:rsid w:val="001F68B1"/>
    <w:rsid w:val="001F745F"/>
    <w:rsid w:val="00207B4F"/>
    <w:rsid w:val="00214CD5"/>
    <w:rsid w:val="0023418D"/>
    <w:rsid w:val="00237D18"/>
    <w:rsid w:val="00240B59"/>
    <w:rsid w:val="002449CF"/>
    <w:rsid w:val="002532FD"/>
    <w:rsid w:val="00264C00"/>
    <w:rsid w:val="002650E1"/>
    <w:rsid w:val="00270331"/>
    <w:rsid w:val="0027373C"/>
    <w:rsid w:val="0028395D"/>
    <w:rsid w:val="00287793"/>
    <w:rsid w:val="00295BB3"/>
    <w:rsid w:val="002A6A5A"/>
    <w:rsid w:val="002B418F"/>
    <w:rsid w:val="002B78AC"/>
    <w:rsid w:val="002D2329"/>
    <w:rsid w:val="002F457E"/>
    <w:rsid w:val="002F5F47"/>
    <w:rsid w:val="0030118C"/>
    <w:rsid w:val="00301DDB"/>
    <w:rsid w:val="00303D4F"/>
    <w:rsid w:val="00304FF7"/>
    <w:rsid w:val="003511EC"/>
    <w:rsid w:val="00355C9B"/>
    <w:rsid w:val="00357545"/>
    <w:rsid w:val="0036508B"/>
    <w:rsid w:val="00366D77"/>
    <w:rsid w:val="00367383"/>
    <w:rsid w:val="00380FD2"/>
    <w:rsid w:val="00385181"/>
    <w:rsid w:val="003931E0"/>
    <w:rsid w:val="00396BF2"/>
    <w:rsid w:val="003A5EC7"/>
    <w:rsid w:val="003B42C5"/>
    <w:rsid w:val="003C5DEC"/>
    <w:rsid w:val="003E388B"/>
    <w:rsid w:val="00410924"/>
    <w:rsid w:val="0042127A"/>
    <w:rsid w:val="0044026A"/>
    <w:rsid w:val="004577F3"/>
    <w:rsid w:val="004800EA"/>
    <w:rsid w:val="00480DEE"/>
    <w:rsid w:val="004856A5"/>
    <w:rsid w:val="0049491D"/>
    <w:rsid w:val="004A4066"/>
    <w:rsid w:val="004A54AD"/>
    <w:rsid w:val="004E2229"/>
    <w:rsid w:val="004E5D1D"/>
    <w:rsid w:val="004F3C23"/>
    <w:rsid w:val="004F4777"/>
    <w:rsid w:val="005210AF"/>
    <w:rsid w:val="00536534"/>
    <w:rsid w:val="00536BE9"/>
    <w:rsid w:val="0057567B"/>
    <w:rsid w:val="005840F5"/>
    <w:rsid w:val="005912DC"/>
    <w:rsid w:val="00593F45"/>
    <w:rsid w:val="005A22B5"/>
    <w:rsid w:val="005A6B7D"/>
    <w:rsid w:val="005B48C6"/>
    <w:rsid w:val="005C7DC2"/>
    <w:rsid w:val="005D0E0A"/>
    <w:rsid w:val="005D26E8"/>
    <w:rsid w:val="005D6C59"/>
    <w:rsid w:val="005D7F35"/>
    <w:rsid w:val="005F3BAB"/>
    <w:rsid w:val="006051A9"/>
    <w:rsid w:val="006069BE"/>
    <w:rsid w:val="00630693"/>
    <w:rsid w:val="0063167E"/>
    <w:rsid w:val="00631971"/>
    <w:rsid w:val="0063368F"/>
    <w:rsid w:val="00645C3C"/>
    <w:rsid w:val="0064622B"/>
    <w:rsid w:val="00647A9E"/>
    <w:rsid w:val="00652755"/>
    <w:rsid w:val="0065369A"/>
    <w:rsid w:val="00664949"/>
    <w:rsid w:val="0066607E"/>
    <w:rsid w:val="00666AB9"/>
    <w:rsid w:val="006A7D3E"/>
    <w:rsid w:val="006C2071"/>
    <w:rsid w:val="006C69AE"/>
    <w:rsid w:val="006D3818"/>
    <w:rsid w:val="006E292A"/>
    <w:rsid w:val="006E5EEB"/>
    <w:rsid w:val="006F06AD"/>
    <w:rsid w:val="00703626"/>
    <w:rsid w:val="00711BE5"/>
    <w:rsid w:val="00717C6A"/>
    <w:rsid w:val="00730974"/>
    <w:rsid w:val="00744EE0"/>
    <w:rsid w:val="007479A9"/>
    <w:rsid w:val="007555FC"/>
    <w:rsid w:val="00757B67"/>
    <w:rsid w:val="00761360"/>
    <w:rsid w:val="007627AF"/>
    <w:rsid w:val="00780ADF"/>
    <w:rsid w:val="00790374"/>
    <w:rsid w:val="00792E23"/>
    <w:rsid w:val="00797F55"/>
    <w:rsid w:val="007C0594"/>
    <w:rsid w:val="007C2696"/>
    <w:rsid w:val="007C51C3"/>
    <w:rsid w:val="007C68BB"/>
    <w:rsid w:val="007D437B"/>
    <w:rsid w:val="007E5E52"/>
    <w:rsid w:val="0080209E"/>
    <w:rsid w:val="0081436D"/>
    <w:rsid w:val="0082160D"/>
    <w:rsid w:val="008558E5"/>
    <w:rsid w:val="0086165A"/>
    <w:rsid w:val="00872B96"/>
    <w:rsid w:val="008A15A2"/>
    <w:rsid w:val="008A2F73"/>
    <w:rsid w:val="008A43E6"/>
    <w:rsid w:val="008A514F"/>
    <w:rsid w:val="008A5C2B"/>
    <w:rsid w:val="008B0958"/>
    <w:rsid w:val="008C0364"/>
    <w:rsid w:val="008C2634"/>
    <w:rsid w:val="008D1929"/>
    <w:rsid w:val="008E0C2F"/>
    <w:rsid w:val="008E3FE1"/>
    <w:rsid w:val="008E5CDE"/>
    <w:rsid w:val="008E5FF9"/>
    <w:rsid w:val="008E7C34"/>
    <w:rsid w:val="0090059C"/>
    <w:rsid w:val="009018E1"/>
    <w:rsid w:val="00917FE6"/>
    <w:rsid w:val="009210FE"/>
    <w:rsid w:val="00935398"/>
    <w:rsid w:val="00945D9B"/>
    <w:rsid w:val="00970818"/>
    <w:rsid w:val="009747BC"/>
    <w:rsid w:val="00986A27"/>
    <w:rsid w:val="009A0667"/>
    <w:rsid w:val="009A15F1"/>
    <w:rsid w:val="009C3C30"/>
    <w:rsid w:val="009C6C28"/>
    <w:rsid w:val="009E224B"/>
    <w:rsid w:val="009F2D7E"/>
    <w:rsid w:val="009F3527"/>
    <w:rsid w:val="00A02B7E"/>
    <w:rsid w:val="00A111DA"/>
    <w:rsid w:val="00A24563"/>
    <w:rsid w:val="00A40723"/>
    <w:rsid w:val="00A47E76"/>
    <w:rsid w:val="00A5432E"/>
    <w:rsid w:val="00A55B8F"/>
    <w:rsid w:val="00A57FA9"/>
    <w:rsid w:val="00A601D1"/>
    <w:rsid w:val="00A75734"/>
    <w:rsid w:val="00A84259"/>
    <w:rsid w:val="00A93B0D"/>
    <w:rsid w:val="00AA7437"/>
    <w:rsid w:val="00AB1694"/>
    <w:rsid w:val="00AB52AD"/>
    <w:rsid w:val="00AC321A"/>
    <w:rsid w:val="00AC4D32"/>
    <w:rsid w:val="00AC668E"/>
    <w:rsid w:val="00AE0CC5"/>
    <w:rsid w:val="00AE1F75"/>
    <w:rsid w:val="00AF0187"/>
    <w:rsid w:val="00B00701"/>
    <w:rsid w:val="00B03669"/>
    <w:rsid w:val="00B07646"/>
    <w:rsid w:val="00B23034"/>
    <w:rsid w:val="00B276C0"/>
    <w:rsid w:val="00B3440F"/>
    <w:rsid w:val="00B6788D"/>
    <w:rsid w:val="00B67E8A"/>
    <w:rsid w:val="00B75AB9"/>
    <w:rsid w:val="00B84983"/>
    <w:rsid w:val="00B97226"/>
    <w:rsid w:val="00BA2570"/>
    <w:rsid w:val="00BA56CE"/>
    <w:rsid w:val="00BA604F"/>
    <w:rsid w:val="00BB2198"/>
    <w:rsid w:val="00BD2C03"/>
    <w:rsid w:val="00BE520E"/>
    <w:rsid w:val="00BE5259"/>
    <w:rsid w:val="00BF2CE2"/>
    <w:rsid w:val="00BF39EC"/>
    <w:rsid w:val="00C0148F"/>
    <w:rsid w:val="00C03558"/>
    <w:rsid w:val="00C04D4D"/>
    <w:rsid w:val="00C114FB"/>
    <w:rsid w:val="00C1417A"/>
    <w:rsid w:val="00C179C7"/>
    <w:rsid w:val="00C26A6B"/>
    <w:rsid w:val="00C32DB8"/>
    <w:rsid w:val="00C34F45"/>
    <w:rsid w:val="00C432BB"/>
    <w:rsid w:val="00C54B04"/>
    <w:rsid w:val="00C7082D"/>
    <w:rsid w:val="00C76AA4"/>
    <w:rsid w:val="00C76CBC"/>
    <w:rsid w:val="00C82501"/>
    <w:rsid w:val="00C82558"/>
    <w:rsid w:val="00C92D42"/>
    <w:rsid w:val="00CA0301"/>
    <w:rsid w:val="00CA16D3"/>
    <w:rsid w:val="00CC5062"/>
    <w:rsid w:val="00CC72E3"/>
    <w:rsid w:val="00CD0116"/>
    <w:rsid w:val="00CE502C"/>
    <w:rsid w:val="00D031C3"/>
    <w:rsid w:val="00D33304"/>
    <w:rsid w:val="00D33A37"/>
    <w:rsid w:val="00D423C9"/>
    <w:rsid w:val="00D53286"/>
    <w:rsid w:val="00D60AF8"/>
    <w:rsid w:val="00D74C23"/>
    <w:rsid w:val="00D854B1"/>
    <w:rsid w:val="00D90050"/>
    <w:rsid w:val="00DA0260"/>
    <w:rsid w:val="00DA73EE"/>
    <w:rsid w:val="00DB625C"/>
    <w:rsid w:val="00DC033C"/>
    <w:rsid w:val="00DC0BB9"/>
    <w:rsid w:val="00DC782A"/>
    <w:rsid w:val="00DD3FEA"/>
    <w:rsid w:val="00DD4DF1"/>
    <w:rsid w:val="00DE18AC"/>
    <w:rsid w:val="00DF14DB"/>
    <w:rsid w:val="00E042DD"/>
    <w:rsid w:val="00E167EB"/>
    <w:rsid w:val="00E25914"/>
    <w:rsid w:val="00E57479"/>
    <w:rsid w:val="00E634E4"/>
    <w:rsid w:val="00E666E1"/>
    <w:rsid w:val="00E82E0B"/>
    <w:rsid w:val="00EB3569"/>
    <w:rsid w:val="00EB53C8"/>
    <w:rsid w:val="00EB708E"/>
    <w:rsid w:val="00ED6968"/>
    <w:rsid w:val="00EE10FB"/>
    <w:rsid w:val="00F100A4"/>
    <w:rsid w:val="00F207F3"/>
    <w:rsid w:val="00F20D3E"/>
    <w:rsid w:val="00F3063B"/>
    <w:rsid w:val="00F45D71"/>
    <w:rsid w:val="00F47A64"/>
    <w:rsid w:val="00F662C3"/>
    <w:rsid w:val="00F67B7C"/>
    <w:rsid w:val="00F71CB8"/>
    <w:rsid w:val="00F72298"/>
    <w:rsid w:val="00F85EE5"/>
    <w:rsid w:val="00FA19A2"/>
    <w:rsid w:val="00FB1D92"/>
    <w:rsid w:val="00FC133D"/>
    <w:rsid w:val="00F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04D8"/>
  <w15:docId w15:val="{E648E3BB-24E8-453E-A4F6-716C7C40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DDB"/>
    <w:pPr>
      <w:ind w:left="720"/>
      <w:contextualSpacing/>
    </w:pPr>
  </w:style>
  <w:style w:type="table" w:styleId="TableGrid">
    <w:name w:val="Table Grid"/>
    <w:basedOn w:val="TableNormal"/>
    <w:uiPriority w:val="39"/>
    <w:rsid w:val="0030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383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4365F"/>
  </w:style>
  <w:style w:type="paragraph" w:styleId="Header">
    <w:name w:val="header"/>
    <w:basedOn w:val="Normal"/>
    <w:link w:val="HeaderChar"/>
    <w:uiPriority w:val="99"/>
    <w:unhideWhenUsed/>
    <w:rsid w:val="00283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95D"/>
  </w:style>
  <w:style w:type="paragraph" w:styleId="Footer">
    <w:name w:val="footer"/>
    <w:basedOn w:val="Normal"/>
    <w:link w:val="FooterChar"/>
    <w:uiPriority w:val="99"/>
    <w:unhideWhenUsed/>
    <w:rsid w:val="00283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95D"/>
  </w:style>
  <w:style w:type="paragraph" w:customStyle="1" w:styleId="halfrhythm">
    <w:name w:val="half_rhythm"/>
    <w:basedOn w:val="Normal"/>
    <w:rsid w:val="007555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555FC"/>
    <w:rPr>
      <w:b/>
      <w:bCs/>
    </w:rPr>
  </w:style>
  <w:style w:type="character" w:styleId="Emphasis">
    <w:name w:val="Emphasis"/>
    <w:basedOn w:val="DefaultParagraphFont"/>
    <w:uiPriority w:val="20"/>
    <w:qFormat/>
    <w:rsid w:val="00D854B1"/>
    <w:rPr>
      <w:i/>
      <w:iCs/>
    </w:rPr>
  </w:style>
  <w:style w:type="character" w:customStyle="1" w:styleId="apacitation">
    <w:name w:val="apacitation"/>
    <w:basedOn w:val="DefaultParagraphFont"/>
    <w:rsid w:val="00A55B8F"/>
  </w:style>
  <w:style w:type="character" w:customStyle="1" w:styleId="urllink">
    <w:name w:val="urllink"/>
    <w:basedOn w:val="DefaultParagraphFont"/>
    <w:rsid w:val="00A55B8F"/>
  </w:style>
  <w:style w:type="paragraph" w:customStyle="1" w:styleId="para">
    <w:name w:val="para"/>
    <w:basedOn w:val="Normal"/>
    <w:rsid w:val="00A55B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43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35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D6C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wolterskluwer.com/LCO-Learn-More.html" TargetMode="External"/><Relationship Id="rId13" Type="http://schemas.openxmlformats.org/officeDocument/2006/relationships/hyperlink" Target="https://www.drugabuse.gov/nidamed-medical-health-profession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89/fcvm.2021.704281" TargetMode="External"/><Relationship Id="rId12" Type="http://schemas.openxmlformats.org/officeDocument/2006/relationships/hyperlink" Target="https://doi.org/10.1001/jama.2024.575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cessmedicine-mhmedical-com.proxy.cc.uic.edu/content.aspx?bookid=2747&amp;sectionid=23025055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ccessmedicine-mhmedical-com.proxy.cc.uic.edu/content.aspx?bookid=3343&amp;sectionid=279901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56/NEJMcp171249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Burt</dc:creator>
  <cp:lastModifiedBy>Leah Burt</cp:lastModifiedBy>
  <cp:revision>2</cp:revision>
  <dcterms:created xsi:type="dcterms:W3CDTF">2025-11-21T20:57:00Z</dcterms:created>
  <dcterms:modified xsi:type="dcterms:W3CDTF">2025-11-21T20:57:00Z</dcterms:modified>
</cp:coreProperties>
</file>