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CC5EF" w14:textId="27C990BE" w:rsidR="00F848F3" w:rsidRPr="00F848F3" w:rsidRDefault="00F848F3" w:rsidP="00F848F3">
      <w:pPr>
        <w:jc w:val="center"/>
        <w:rPr>
          <w:b/>
          <w:bCs/>
        </w:rPr>
      </w:pPr>
      <w:r w:rsidRPr="00F848F3">
        <w:rPr>
          <w:b/>
          <w:bCs/>
        </w:rPr>
        <w:t>Mapping The NEW AACN Essentials, The Future of Nursing 2020-2030 Report, and The Healthy People 2030 Initiative</w:t>
      </w:r>
    </w:p>
    <w:p w14:paraId="72984247" w14:textId="0264F137" w:rsidR="00244DDF" w:rsidRPr="00F848F3" w:rsidRDefault="00F848F3" w:rsidP="00F848F3">
      <w:r w:rsidRPr="00F848F3">
        <w:t xml:space="preserve">This is a </w:t>
      </w:r>
      <w:r>
        <w:t>c</w:t>
      </w:r>
      <w:r w:rsidR="00602B28" w:rsidRPr="00F848F3">
        <w:t>omparative</w:t>
      </w:r>
      <w:r w:rsidR="00180EEA" w:rsidRPr="00F848F3">
        <w:t xml:space="preserve"> </w:t>
      </w:r>
      <w:r>
        <w:t>t</w:t>
      </w:r>
      <w:r w:rsidR="00180EEA" w:rsidRPr="00F848F3">
        <w:t xml:space="preserve">able to </w:t>
      </w:r>
      <w:r>
        <w:t>i</w:t>
      </w:r>
      <w:r w:rsidR="00F42CEA" w:rsidRPr="00F848F3">
        <w:t xml:space="preserve">dentify </w:t>
      </w:r>
      <w:r>
        <w:t>k</w:t>
      </w:r>
      <w:r w:rsidR="00F42CEA" w:rsidRPr="00F848F3">
        <w:t xml:space="preserve">ey </w:t>
      </w:r>
      <w:r>
        <w:t>c</w:t>
      </w:r>
      <w:r w:rsidR="00F42CEA" w:rsidRPr="00F848F3">
        <w:t xml:space="preserve">ontent </w:t>
      </w:r>
      <w:r>
        <w:t>a</w:t>
      </w:r>
      <w:r w:rsidR="00F42CEA" w:rsidRPr="00F848F3">
        <w:t xml:space="preserve">reas in </w:t>
      </w:r>
      <w:r>
        <w:t>t</w:t>
      </w:r>
      <w:r w:rsidR="00F42CEA" w:rsidRPr="00F848F3">
        <w:t>he</w:t>
      </w:r>
      <w:r w:rsidR="00F42CEA" w:rsidRPr="00937E29">
        <w:t xml:space="preserve"> </w:t>
      </w:r>
      <w:r w:rsidR="00937E29" w:rsidRPr="00937E29">
        <w:t>new</w:t>
      </w:r>
      <w:r w:rsidR="00F42CEA" w:rsidRPr="00F848F3">
        <w:rPr>
          <w:i/>
          <w:iCs/>
        </w:rPr>
        <w:t xml:space="preserve"> </w:t>
      </w:r>
      <w:hyperlink r:id="rId7" w:history="1">
        <w:r w:rsidR="00F42CEA" w:rsidRPr="00937E29">
          <w:rPr>
            <w:rStyle w:val="Hyperlink"/>
            <w:i/>
            <w:iCs/>
          </w:rPr>
          <w:t>AACN Essentials</w:t>
        </w:r>
      </w:hyperlink>
      <w:r w:rsidR="00F42CEA" w:rsidRPr="00F848F3">
        <w:t xml:space="preserve">, </w:t>
      </w:r>
      <w:r>
        <w:t>t</w:t>
      </w:r>
      <w:r w:rsidR="00F42CEA" w:rsidRPr="00F848F3">
        <w:t xml:space="preserve">he </w:t>
      </w:r>
      <w:r w:rsidR="00F42CEA" w:rsidRPr="00F848F3">
        <w:rPr>
          <w:i/>
          <w:iCs/>
        </w:rPr>
        <w:t>Future of Nursing 2020-2030</w:t>
      </w:r>
      <w:r w:rsidR="00F42CEA" w:rsidRPr="00F848F3">
        <w:t xml:space="preserve"> Report, and </w:t>
      </w:r>
      <w:r>
        <w:t>t</w:t>
      </w:r>
      <w:r w:rsidR="00F42CEA" w:rsidRPr="00F848F3">
        <w:t xml:space="preserve">he </w:t>
      </w:r>
      <w:r w:rsidR="00F42CEA" w:rsidRPr="00F848F3">
        <w:rPr>
          <w:i/>
          <w:iCs/>
        </w:rPr>
        <w:t>Healthy People 2030 Initiative</w:t>
      </w:r>
      <w:r w:rsidR="00F42CEA" w:rsidRPr="00F848F3">
        <w:rPr>
          <w:b/>
          <w:bCs/>
        </w:rPr>
        <w:t xml:space="preserve">, </w:t>
      </w:r>
      <w:r w:rsidR="00F42CEA" w:rsidRPr="00F848F3">
        <w:t xml:space="preserve">and provide examples of where the information in these three sources </w:t>
      </w:r>
      <w:r w:rsidR="00E84B98">
        <w:t>i</w:t>
      </w:r>
      <w:r w:rsidR="00F42CEA" w:rsidRPr="00F848F3">
        <w:t>ntersect and resonate with one-another.</w:t>
      </w:r>
    </w:p>
    <w:p w14:paraId="6CE131D6" w14:textId="11350E36" w:rsidR="00F42CEA" w:rsidRPr="00F848F3" w:rsidRDefault="00F848F3" w:rsidP="00F42CEA">
      <w:r>
        <w:t>It</w:t>
      </w:r>
      <w:r w:rsidR="00F42CEA" w:rsidRPr="00F848F3">
        <w:t xml:space="preserve"> was created as a resource for faculty to begin the process of reviewing these three important documents that will form the basis of substantive curriculum revision </w:t>
      </w:r>
      <w:r w:rsidR="0070527D">
        <w:t>to determine what</w:t>
      </w:r>
      <w:r w:rsidR="00F913A5" w:rsidRPr="00F848F3">
        <w:t xml:space="preserve"> content that may need updating, while also </w:t>
      </w:r>
      <w:r w:rsidR="00F42CEA" w:rsidRPr="00F848F3">
        <w:t>align</w:t>
      </w:r>
      <w:r w:rsidR="00F913A5" w:rsidRPr="00F848F3">
        <w:t>ing</w:t>
      </w:r>
      <w:r w:rsidR="00F42CEA" w:rsidRPr="00F848F3">
        <w:t xml:space="preserve"> </w:t>
      </w:r>
      <w:r w:rsidR="00F913A5" w:rsidRPr="00F848F3">
        <w:t xml:space="preserve">existing </w:t>
      </w:r>
      <w:r w:rsidR="00F42CEA" w:rsidRPr="00F848F3">
        <w:t>educational practices with new and emergent issues in healthcare</w:t>
      </w:r>
      <w:r w:rsidR="00F913A5" w:rsidRPr="00F848F3">
        <w:t>. All three sources are content</w:t>
      </w:r>
      <w:r w:rsidRPr="00F848F3">
        <w:t>-rich,</w:t>
      </w:r>
      <w:r w:rsidR="00F913A5" w:rsidRPr="00F848F3">
        <w:t xml:space="preserve"> and I encourage the reader to use this table in conjunction with the full </w:t>
      </w:r>
      <w:r w:rsidR="00F913A5" w:rsidRPr="00F848F3">
        <w:rPr>
          <w:i/>
          <w:iCs/>
        </w:rPr>
        <w:t xml:space="preserve">New AACN Essentials Report </w:t>
      </w:r>
      <w:r w:rsidR="00F913A5" w:rsidRPr="00F848F3">
        <w:t>and</w:t>
      </w:r>
      <w:r w:rsidR="00F913A5" w:rsidRPr="00F848F3">
        <w:rPr>
          <w:i/>
          <w:iCs/>
        </w:rPr>
        <w:t xml:space="preserve"> </w:t>
      </w:r>
      <w:hyperlink r:id="rId8" w:history="1">
        <w:r w:rsidR="00F913A5" w:rsidRPr="00937E29">
          <w:rPr>
            <w:rStyle w:val="Hyperlink"/>
            <w:i/>
            <w:iCs/>
          </w:rPr>
          <w:t>The Future of Nursing 2020-2030 Report</w:t>
        </w:r>
      </w:hyperlink>
      <w:r w:rsidR="00F913A5" w:rsidRPr="00F848F3">
        <w:rPr>
          <w:i/>
          <w:iCs/>
        </w:rPr>
        <w:t xml:space="preserve"> </w:t>
      </w:r>
      <w:r w:rsidR="00F913A5" w:rsidRPr="00F848F3">
        <w:t>close at hand in order to fully read an</w:t>
      </w:r>
      <w:r w:rsidRPr="00F848F3">
        <w:t>d</w:t>
      </w:r>
      <w:r w:rsidR="00F913A5" w:rsidRPr="00F848F3">
        <w:t xml:space="preserve"> </w:t>
      </w:r>
      <w:r w:rsidRPr="00F848F3">
        <w:t>understand</w:t>
      </w:r>
      <w:r w:rsidR="00F913A5" w:rsidRPr="00F848F3">
        <w:t xml:space="preserve"> the examples provided and facilitate the discovery of additional supporting information. </w:t>
      </w:r>
      <w:hyperlink r:id="rId9" w:history="1">
        <w:r w:rsidR="00F913A5" w:rsidRPr="00937E29">
          <w:rPr>
            <w:rStyle w:val="Hyperlink"/>
            <w:i/>
            <w:iCs/>
          </w:rPr>
          <w:t>The Healthy People 2030</w:t>
        </w:r>
      </w:hyperlink>
      <w:r w:rsidR="00F913A5" w:rsidRPr="00F848F3">
        <w:t xml:space="preserve"> Initiative exists only as a website with m</w:t>
      </w:r>
      <w:r w:rsidRPr="00F848F3">
        <w:t>an</w:t>
      </w:r>
      <w:r w:rsidR="00F913A5" w:rsidRPr="00F848F3">
        <w:t>y links and resources</w:t>
      </w:r>
      <w:r w:rsidRPr="00F848F3">
        <w:t>,</w:t>
      </w:r>
      <w:r w:rsidR="00F913A5" w:rsidRPr="00F848F3">
        <w:t xml:space="preserve"> so I have provided examples for search terms and tabs to click on </w:t>
      </w:r>
      <w:proofErr w:type="gramStart"/>
      <w:r w:rsidR="00F913A5" w:rsidRPr="00F848F3">
        <w:t>in order to</w:t>
      </w:r>
      <w:proofErr w:type="gramEnd"/>
      <w:r w:rsidR="00F913A5" w:rsidRPr="00F848F3">
        <w:t xml:space="preserve"> </w:t>
      </w:r>
      <w:r w:rsidRPr="00F848F3">
        <w:t>point to the locations of</w:t>
      </w:r>
      <w:r w:rsidR="00F913A5" w:rsidRPr="00F848F3">
        <w:t xml:space="preserve"> key information that may be helpful for curriculum considerations.</w:t>
      </w:r>
    </w:p>
    <w:tbl>
      <w:tblPr>
        <w:tblStyle w:val="TableGrid"/>
        <w:tblW w:w="13315" w:type="dxa"/>
        <w:tblLook w:val="04A0" w:firstRow="1" w:lastRow="0" w:firstColumn="1" w:lastColumn="0" w:noHBand="0" w:noVBand="1"/>
      </w:tblPr>
      <w:tblGrid>
        <w:gridCol w:w="3036"/>
        <w:gridCol w:w="3588"/>
        <w:gridCol w:w="3277"/>
        <w:gridCol w:w="3414"/>
      </w:tblGrid>
      <w:tr w:rsidR="00BC711C" w14:paraId="3E2C6086" w14:textId="77777777" w:rsidTr="00BC711C">
        <w:tc>
          <w:tcPr>
            <w:tcW w:w="3036" w:type="dxa"/>
          </w:tcPr>
          <w:p w14:paraId="4B35B3B6" w14:textId="147F2199" w:rsidR="00195CE1" w:rsidRDefault="00EA194B" w:rsidP="00ED05BC">
            <w:pPr>
              <w:rPr>
                <w:b/>
                <w:bCs/>
                <w:sz w:val="24"/>
                <w:szCs w:val="24"/>
              </w:rPr>
            </w:pPr>
            <w:r>
              <w:rPr>
                <w:b/>
                <w:bCs/>
                <w:sz w:val="24"/>
                <w:szCs w:val="24"/>
              </w:rPr>
              <w:t xml:space="preserve">Themes </w:t>
            </w:r>
            <w:r w:rsidR="00195CE1">
              <w:rPr>
                <w:b/>
                <w:bCs/>
                <w:sz w:val="24"/>
                <w:szCs w:val="24"/>
              </w:rPr>
              <w:t xml:space="preserve"> </w:t>
            </w:r>
          </w:p>
          <w:p w14:paraId="163A3760" w14:textId="77777777" w:rsidR="00195CE1" w:rsidRDefault="00195CE1" w:rsidP="00ED05BC">
            <w:pPr>
              <w:rPr>
                <w:b/>
                <w:bCs/>
                <w:sz w:val="24"/>
                <w:szCs w:val="24"/>
              </w:rPr>
            </w:pPr>
          </w:p>
          <w:p w14:paraId="6C8F1C3C" w14:textId="0488EC2B" w:rsidR="00EA194B" w:rsidRPr="00EA194B" w:rsidRDefault="00E27009" w:rsidP="00EA194B">
            <w:pPr>
              <w:rPr>
                <w:b/>
                <w:bCs/>
                <w:sz w:val="20"/>
                <w:szCs w:val="20"/>
              </w:rPr>
            </w:pPr>
            <w:r>
              <w:rPr>
                <w:b/>
                <w:bCs/>
                <w:sz w:val="20"/>
                <w:szCs w:val="20"/>
              </w:rPr>
              <w:t xml:space="preserve">New </w:t>
            </w:r>
            <w:r w:rsidR="00EA194B">
              <w:rPr>
                <w:b/>
                <w:bCs/>
                <w:sz w:val="20"/>
                <w:szCs w:val="20"/>
              </w:rPr>
              <w:t xml:space="preserve">AACN </w:t>
            </w:r>
            <w:r>
              <w:rPr>
                <w:b/>
                <w:bCs/>
                <w:sz w:val="20"/>
                <w:szCs w:val="20"/>
              </w:rPr>
              <w:t xml:space="preserve">Essentials </w:t>
            </w:r>
            <w:r w:rsidR="00EA194B">
              <w:rPr>
                <w:b/>
                <w:bCs/>
                <w:sz w:val="20"/>
                <w:szCs w:val="20"/>
              </w:rPr>
              <w:t>themes</w:t>
            </w:r>
            <w:r>
              <w:rPr>
                <w:b/>
                <w:bCs/>
                <w:sz w:val="20"/>
                <w:szCs w:val="20"/>
              </w:rPr>
              <w:t>, and general attributes (GA)</w:t>
            </w:r>
            <w:r w:rsidR="00EA194B" w:rsidRPr="00EA194B">
              <w:rPr>
                <w:b/>
                <w:bCs/>
                <w:sz w:val="20"/>
                <w:szCs w:val="20"/>
              </w:rPr>
              <w:t xml:space="preserve"> </w:t>
            </w:r>
            <w:r w:rsidR="00EA194B">
              <w:rPr>
                <w:b/>
                <w:bCs/>
                <w:sz w:val="20"/>
                <w:szCs w:val="20"/>
              </w:rPr>
              <w:t xml:space="preserve">appear in this row. </w:t>
            </w:r>
            <w:r w:rsidR="00EA194B" w:rsidRPr="00EA194B">
              <w:rPr>
                <w:b/>
                <w:bCs/>
                <w:sz w:val="20"/>
                <w:szCs w:val="20"/>
              </w:rPr>
              <w:t xml:space="preserve"> </w:t>
            </w:r>
          </w:p>
          <w:p w14:paraId="3CB146EE" w14:textId="77777777" w:rsidR="00EA194B" w:rsidRDefault="00EA194B" w:rsidP="00ED05BC">
            <w:pPr>
              <w:rPr>
                <w:b/>
                <w:bCs/>
                <w:sz w:val="20"/>
                <w:szCs w:val="20"/>
              </w:rPr>
            </w:pPr>
          </w:p>
          <w:p w14:paraId="007004BF" w14:textId="77777777" w:rsidR="00CD5C74" w:rsidRPr="00195CE1" w:rsidRDefault="00CD5C74" w:rsidP="00ED05BC">
            <w:pPr>
              <w:rPr>
                <w:b/>
                <w:bCs/>
                <w:sz w:val="20"/>
                <w:szCs w:val="20"/>
              </w:rPr>
            </w:pPr>
          </w:p>
          <w:p w14:paraId="4CEDFCDC" w14:textId="02952BD9" w:rsidR="002105D6" w:rsidRPr="00E27009" w:rsidRDefault="000B72A4" w:rsidP="00ED05BC">
            <w:pPr>
              <w:rPr>
                <w:sz w:val="18"/>
                <w:szCs w:val="18"/>
              </w:rPr>
            </w:pPr>
            <w:r w:rsidRPr="00E27009">
              <w:rPr>
                <w:sz w:val="18"/>
                <w:szCs w:val="18"/>
              </w:rPr>
              <w:t xml:space="preserve">(*There are additional </w:t>
            </w:r>
            <w:r w:rsidR="00BF750B" w:rsidRPr="00E27009">
              <w:rPr>
                <w:sz w:val="18"/>
                <w:szCs w:val="18"/>
              </w:rPr>
              <w:t xml:space="preserve">specialized </w:t>
            </w:r>
            <w:r w:rsidR="00D63FE4" w:rsidRPr="00E27009">
              <w:rPr>
                <w:sz w:val="18"/>
                <w:szCs w:val="18"/>
              </w:rPr>
              <w:t>attributes</w:t>
            </w:r>
            <w:r w:rsidR="00195CE1" w:rsidRPr="00E27009">
              <w:rPr>
                <w:sz w:val="18"/>
                <w:szCs w:val="18"/>
              </w:rPr>
              <w:t xml:space="preserve"> that are not listed here</w:t>
            </w:r>
            <w:r w:rsidRPr="00E27009">
              <w:rPr>
                <w:sz w:val="18"/>
                <w:szCs w:val="18"/>
              </w:rPr>
              <w:t xml:space="preserve">, please read the </w:t>
            </w:r>
            <w:r w:rsidR="00195CE1" w:rsidRPr="00E27009">
              <w:rPr>
                <w:sz w:val="18"/>
                <w:szCs w:val="18"/>
              </w:rPr>
              <w:t xml:space="preserve">documents in their entirety </w:t>
            </w:r>
            <w:r w:rsidRPr="00E27009">
              <w:rPr>
                <w:sz w:val="18"/>
                <w:szCs w:val="18"/>
              </w:rPr>
              <w:t>to identify additional focal areas relevant to your curricular content areas.)</w:t>
            </w:r>
          </w:p>
          <w:p w14:paraId="7186F536" w14:textId="240E1FFD" w:rsidR="00CD5C74" w:rsidRPr="000D3AFC" w:rsidRDefault="00CD5C74" w:rsidP="00ED05BC">
            <w:pPr>
              <w:rPr>
                <w:b/>
                <w:bCs/>
                <w:sz w:val="24"/>
                <w:szCs w:val="24"/>
              </w:rPr>
            </w:pPr>
          </w:p>
        </w:tc>
        <w:tc>
          <w:tcPr>
            <w:tcW w:w="3588" w:type="dxa"/>
          </w:tcPr>
          <w:p w14:paraId="00973898" w14:textId="0D2294EE" w:rsidR="00E27009" w:rsidRDefault="00E27009" w:rsidP="00ED05BC">
            <w:pPr>
              <w:pStyle w:val="ListBullet"/>
              <w:numPr>
                <w:ilvl w:val="0"/>
                <w:numId w:val="0"/>
              </w:numPr>
              <w:spacing w:after="160"/>
              <w:rPr>
                <w:b/>
                <w:bCs/>
              </w:rPr>
            </w:pPr>
            <w:r>
              <w:rPr>
                <w:b/>
                <w:bCs/>
              </w:rPr>
              <w:t xml:space="preserve">New </w:t>
            </w:r>
            <w:r w:rsidR="002105D6" w:rsidRPr="00DC0367">
              <w:rPr>
                <w:b/>
                <w:bCs/>
              </w:rPr>
              <w:t>AACN Essential</w:t>
            </w:r>
            <w:r>
              <w:rPr>
                <w:b/>
                <w:bCs/>
              </w:rPr>
              <w:t>s</w:t>
            </w:r>
          </w:p>
          <w:p w14:paraId="7E5F9781" w14:textId="34441BC3" w:rsidR="00E27009" w:rsidRDefault="00E27009" w:rsidP="00ED05BC">
            <w:pPr>
              <w:pStyle w:val="ListBullet"/>
              <w:numPr>
                <w:ilvl w:val="0"/>
                <w:numId w:val="0"/>
              </w:numPr>
              <w:spacing w:after="160"/>
              <w:rPr>
                <w:b/>
                <w:bCs/>
              </w:rPr>
            </w:pPr>
          </w:p>
          <w:p w14:paraId="6695874D" w14:textId="77777777" w:rsidR="00E27009" w:rsidRDefault="00E27009" w:rsidP="00ED05BC">
            <w:pPr>
              <w:pStyle w:val="ListBullet"/>
              <w:numPr>
                <w:ilvl w:val="0"/>
                <w:numId w:val="0"/>
              </w:numPr>
              <w:spacing w:after="160"/>
              <w:rPr>
                <w:sz w:val="20"/>
                <w:szCs w:val="20"/>
              </w:rPr>
            </w:pPr>
          </w:p>
          <w:p w14:paraId="617A06AF" w14:textId="174C5640" w:rsidR="002105D6" w:rsidRPr="00E27009" w:rsidRDefault="00E27009" w:rsidP="00ED05BC">
            <w:pPr>
              <w:pStyle w:val="ListBullet"/>
              <w:numPr>
                <w:ilvl w:val="0"/>
                <w:numId w:val="0"/>
              </w:numPr>
              <w:spacing w:after="160"/>
              <w:rPr>
                <w:sz w:val="20"/>
                <w:szCs w:val="20"/>
              </w:rPr>
            </w:pPr>
            <w:r w:rsidRPr="00E27009">
              <w:rPr>
                <w:sz w:val="20"/>
                <w:szCs w:val="20"/>
              </w:rPr>
              <w:t>This row contains specific information for where</w:t>
            </w:r>
            <w:r w:rsidR="00CD5C74" w:rsidRPr="00E27009">
              <w:rPr>
                <w:sz w:val="20"/>
                <w:szCs w:val="20"/>
              </w:rPr>
              <w:t xml:space="preserve"> to locate c</w:t>
            </w:r>
            <w:r w:rsidR="00602B28" w:rsidRPr="00E27009">
              <w:rPr>
                <w:sz w:val="20"/>
                <w:szCs w:val="20"/>
              </w:rPr>
              <w:t xml:space="preserve">ontent </w:t>
            </w:r>
            <w:r w:rsidR="00CD5C74" w:rsidRPr="00E27009">
              <w:rPr>
                <w:sz w:val="20"/>
                <w:szCs w:val="20"/>
              </w:rPr>
              <w:t>a</w:t>
            </w:r>
            <w:r w:rsidR="00602B28" w:rsidRPr="00E27009">
              <w:rPr>
                <w:sz w:val="20"/>
                <w:szCs w:val="20"/>
              </w:rPr>
              <w:t>rea</w:t>
            </w:r>
            <w:r w:rsidR="00CD5C74" w:rsidRPr="00E27009">
              <w:rPr>
                <w:sz w:val="20"/>
                <w:szCs w:val="20"/>
              </w:rPr>
              <w:t>s and key quotes</w:t>
            </w:r>
            <w:r w:rsidRPr="00E27009">
              <w:rPr>
                <w:sz w:val="20"/>
                <w:szCs w:val="20"/>
              </w:rPr>
              <w:t xml:space="preserve"> in the AACN Document that relate to the theme listed at the left</w:t>
            </w:r>
            <w:r w:rsidR="00CD5C74" w:rsidRPr="00E27009">
              <w:rPr>
                <w:sz w:val="20"/>
                <w:szCs w:val="20"/>
              </w:rPr>
              <w:t xml:space="preserve">. </w:t>
            </w:r>
            <w:r w:rsidR="00602B28" w:rsidRPr="00E27009">
              <w:rPr>
                <w:sz w:val="20"/>
                <w:szCs w:val="20"/>
              </w:rPr>
              <w:t xml:space="preserve"> </w:t>
            </w:r>
          </w:p>
        </w:tc>
        <w:tc>
          <w:tcPr>
            <w:tcW w:w="3277" w:type="dxa"/>
          </w:tcPr>
          <w:p w14:paraId="47AE8606" w14:textId="0827E944" w:rsidR="002105D6" w:rsidRDefault="002105D6" w:rsidP="00ED05BC">
            <w:r w:rsidRPr="00180EEA">
              <w:rPr>
                <w:b/>
                <w:bCs/>
              </w:rPr>
              <w:t>Future of Nursing</w:t>
            </w:r>
            <w:r w:rsidR="00E27009">
              <w:rPr>
                <w:b/>
                <w:bCs/>
              </w:rPr>
              <w:t xml:space="preserve"> 2020-2030</w:t>
            </w:r>
            <w:r>
              <w:rPr>
                <w:b/>
                <w:bCs/>
              </w:rPr>
              <w:t xml:space="preserve"> Report</w:t>
            </w:r>
            <w:r w:rsidR="000D38B8" w:rsidRPr="000D38B8">
              <w:t xml:space="preserve"> </w:t>
            </w:r>
          </w:p>
          <w:p w14:paraId="5116F22F" w14:textId="7855D08F" w:rsidR="00E27009" w:rsidRDefault="00E27009" w:rsidP="00ED05BC"/>
          <w:p w14:paraId="0F2EF5D6" w14:textId="2984DDD3" w:rsidR="00E27009" w:rsidRDefault="00E27009" w:rsidP="00ED05BC">
            <w:pPr>
              <w:rPr>
                <w:b/>
                <w:bCs/>
              </w:rPr>
            </w:pPr>
            <w:r w:rsidRPr="00E27009">
              <w:rPr>
                <w:sz w:val="20"/>
                <w:szCs w:val="20"/>
              </w:rPr>
              <w:t xml:space="preserve">This row contains specific information for where to locate content areas and key quotes in the </w:t>
            </w:r>
            <w:r>
              <w:rPr>
                <w:sz w:val="20"/>
                <w:szCs w:val="20"/>
              </w:rPr>
              <w:t>Future of Nursing 2020-2030 (FONR)</w:t>
            </w:r>
            <w:r w:rsidRPr="00E27009">
              <w:rPr>
                <w:sz w:val="20"/>
                <w:szCs w:val="20"/>
              </w:rPr>
              <w:t xml:space="preserve"> </w:t>
            </w:r>
            <w:r>
              <w:rPr>
                <w:sz w:val="20"/>
                <w:szCs w:val="20"/>
              </w:rPr>
              <w:t>d</w:t>
            </w:r>
            <w:r w:rsidRPr="00E27009">
              <w:rPr>
                <w:sz w:val="20"/>
                <w:szCs w:val="20"/>
              </w:rPr>
              <w:t xml:space="preserve">ocument that relate to the theme listed at the left.  </w:t>
            </w:r>
          </w:p>
          <w:p w14:paraId="121D430A" w14:textId="77777777" w:rsidR="00E27009" w:rsidRDefault="00E27009" w:rsidP="00ED05BC">
            <w:pPr>
              <w:rPr>
                <w:b/>
                <w:bCs/>
              </w:rPr>
            </w:pPr>
          </w:p>
          <w:p w14:paraId="215F6156" w14:textId="0D585E10" w:rsidR="00E27009" w:rsidRPr="00180EEA" w:rsidRDefault="00E27009" w:rsidP="00ED05BC">
            <w:pPr>
              <w:rPr>
                <w:b/>
                <w:bCs/>
              </w:rPr>
            </w:pPr>
          </w:p>
        </w:tc>
        <w:tc>
          <w:tcPr>
            <w:tcW w:w="3414" w:type="dxa"/>
          </w:tcPr>
          <w:p w14:paraId="765A8540" w14:textId="77777777" w:rsidR="00E27009" w:rsidRDefault="002105D6" w:rsidP="00ED05BC">
            <w:pPr>
              <w:rPr>
                <w:b/>
                <w:bCs/>
              </w:rPr>
            </w:pPr>
            <w:r w:rsidRPr="00180EEA">
              <w:rPr>
                <w:b/>
                <w:bCs/>
              </w:rPr>
              <w:t>Healthy People 20</w:t>
            </w:r>
            <w:r>
              <w:rPr>
                <w:b/>
                <w:bCs/>
              </w:rPr>
              <w:t>3</w:t>
            </w:r>
            <w:r w:rsidRPr="00180EEA">
              <w:rPr>
                <w:b/>
                <w:bCs/>
              </w:rPr>
              <w:t>0</w:t>
            </w:r>
          </w:p>
          <w:p w14:paraId="497376B7" w14:textId="77777777" w:rsidR="00E27009" w:rsidRDefault="00E27009" w:rsidP="00ED05BC">
            <w:pPr>
              <w:rPr>
                <w:b/>
                <w:bCs/>
              </w:rPr>
            </w:pPr>
          </w:p>
          <w:p w14:paraId="234E8B8D" w14:textId="77777777" w:rsidR="00E27009" w:rsidRDefault="00E27009" w:rsidP="00ED05BC">
            <w:pPr>
              <w:rPr>
                <w:sz w:val="20"/>
                <w:szCs w:val="20"/>
              </w:rPr>
            </w:pPr>
          </w:p>
          <w:p w14:paraId="6325DA16" w14:textId="7DA0F7C7" w:rsidR="002105D6" w:rsidRPr="00180EEA" w:rsidRDefault="00E27009" w:rsidP="00ED05BC">
            <w:pPr>
              <w:rPr>
                <w:b/>
                <w:bCs/>
              </w:rPr>
            </w:pPr>
            <w:r w:rsidRPr="00E27009">
              <w:rPr>
                <w:sz w:val="20"/>
                <w:szCs w:val="20"/>
              </w:rPr>
              <w:t xml:space="preserve">This row contains specific information for where to locate content areas and key quotes </w:t>
            </w:r>
            <w:r>
              <w:rPr>
                <w:sz w:val="20"/>
                <w:szCs w:val="20"/>
              </w:rPr>
              <w:t>on the Healthy People 2030 Website</w:t>
            </w:r>
            <w:r w:rsidRPr="00E27009">
              <w:rPr>
                <w:sz w:val="20"/>
                <w:szCs w:val="20"/>
              </w:rPr>
              <w:t xml:space="preserve"> that relate to the theme listed at the left.  </w:t>
            </w:r>
            <w:r w:rsidR="00602B28">
              <w:rPr>
                <w:b/>
                <w:bCs/>
              </w:rPr>
              <w:t xml:space="preserve"> </w:t>
            </w:r>
          </w:p>
        </w:tc>
      </w:tr>
      <w:tr w:rsidR="004C15C3" w14:paraId="3FC3744E" w14:textId="77777777" w:rsidTr="00BC711C">
        <w:tc>
          <w:tcPr>
            <w:tcW w:w="3036" w:type="dxa"/>
          </w:tcPr>
          <w:p w14:paraId="3BDF2166" w14:textId="1DCF2433" w:rsidR="004C15C3" w:rsidRPr="000D3AFC" w:rsidRDefault="004C15C3" w:rsidP="00ED05BC">
            <w:pPr>
              <w:rPr>
                <w:b/>
                <w:bCs/>
                <w:sz w:val="24"/>
                <w:szCs w:val="24"/>
              </w:rPr>
            </w:pPr>
            <w:r w:rsidRPr="000D3AFC">
              <w:rPr>
                <w:b/>
                <w:bCs/>
                <w:sz w:val="24"/>
                <w:szCs w:val="24"/>
              </w:rPr>
              <w:t xml:space="preserve">Unique </w:t>
            </w:r>
            <w:r w:rsidR="001224FB" w:rsidRPr="000D3AFC">
              <w:rPr>
                <w:b/>
                <w:bCs/>
                <w:sz w:val="24"/>
                <w:szCs w:val="24"/>
              </w:rPr>
              <w:t xml:space="preserve">professional </w:t>
            </w:r>
            <w:r w:rsidRPr="000D3AFC">
              <w:rPr>
                <w:b/>
                <w:bCs/>
                <w:sz w:val="24"/>
                <w:szCs w:val="24"/>
              </w:rPr>
              <w:t xml:space="preserve">role </w:t>
            </w:r>
            <w:r w:rsidR="002A1BA7">
              <w:rPr>
                <w:b/>
                <w:bCs/>
                <w:sz w:val="24"/>
                <w:szCs w:val="24"/>
              </w:rPr>
              <w:t>o</w:t>
            </w:r>
            <w:r w:rsidR="002B2371" w:rsidRPr="000D3AFC">
              <w:rPr>
                <w:b/>
                <w:bCs/>
                <w:sz w:val="24"/>
                <w:szCs w:val="24"/>
              </w:rPr>
              <w:t>f Nurses in bettering healthcare</w:t>
            </w:r>
          </w:p>
          <w:p w14:paraId="7BF35D87" w14:textId="77777777" w:rsidR="00E93F55" w:rsidRPr="000D3AFC" w:rsidRDefault="00E93F55" w:rsidP="00ED05BC">
            <w:pPr>
              <w:rPr>
                <w:b/>
                <w:bCs/>
                <w:sz w:val="24"/>
                <w:szCs w:val="24"/>
              </w:rPr>
            </w:pPr>
          </w:p>
          <w:p w14:paraId="3E6C86EF" w14:textId="1C334E6A" w:rsidR="00A578EF" w:rsidRPr="000D3AFC" w:rsidRDefault="00A578EF" w:rsidP="00E93F55">
            <w:pPr>
              <w:rPr>
                <w:b/>
                <w:bCs/>
                <w:sz w:val="24"/>
                <w:szCs w:val="24"/>
              </w:rPr>
            </w:pPr>
          </w:p>
        </w:tc>
        <w:tc>
          <w:tcPr>
            <w:tcW w:w="3588" w:type="dxa"/>
          </w:tcPr>
          <w:p w14:paraId="6DE432D5" w14:textId="6F19AC77" w:rsidR="005B22CE" w:rsidRPr="005B22CE" w:rsidRDefault="005B22CE" w:rsidP="005B22CE">
            <w:pPr>
              <w:autoSpaceDE w:val="0"/>
              <w:autoSpaceDN w:val="0"/>
              <w:adjustRightInd w:val="0"/>
              <w:rPr>
                <w:rFonts w:ascii="Calibri" w:hAnsi="Calibri" w:cs="Calibri"/>
                <w:sz w:val="20"/>
                <w:szCs w:val="20"/>
              </w:rPr>
            </w:pPr>
            <w:r w:rsidRPr="002B2371">
              <w:rPr>
                <w:rFonts w:ascii="Calibri" w:hAnsi="Calibri" w:cs="Calibri"/>
                <w:b/>
                <w:bCs/>
                <w:sz w:val="24"/>
                <w:szCs w:val="24"/>
              </w:rPr>
              <w:t>Domain 1: Knowledge for Nursing</w:t>
            </w:r>
            <w:r w:rsidRPr="002B2371">
              <w:rPr>
                <w:rFonts w:ascii="Calibri" w:hAnsi="Calibri" w:cs="Calibri"/>
                <w:sz w:val="24"/>
                <w:szCs w:val="24"/>
              </w:rPr>
              <w:t xml:space="preserve"> </w:t>
            </w:r>
            <w:r w:rsidRPr="002B2371">
              <w:rPr>
                <w:rFonts w:ascii="Calibri" w:hAnsi="Calibri" w:cs="Calibri"/>
                <w:b/>
                <w:bCs/>
                <w:sz w:val="24"/>
                <w:szCs w:val="24"/>
              </w:rPr>
              <w:t>Practice</w:t>
            </w:r>
            <w:r w:rsidRPr="00F833F6">
              <w:rPr>
                <w:rFonts w:ascii="Calibri" w:hAnsi="Calibri" w:cs="Calibri"/>
                <w:b/>
                <w:bCs/>
                <w:i/>
                <w:iCs/>
                <w:sz w:val="20"/>
                <w:szCs w:val="20"/>
              </w:rPr>
              <w:t xml:space="preserve"> </w:t>
            </w:r>
            <w:r w:rsidRPr="005B22CE">
              <w:rPr>
                <w:rFonts w:ascii="Calibri" w:hAnsi="Calibri" w:cs="Calibri"/>
                <w:sz w:val="20"/>
                <w:szCs w:val="20"/>
              </w:rPr>
              <w:t>includes integration, translation, and application of established and evolving disciplinary</w:t>
            </w:r>
          </w:p>
          <w:p w14:paraId="1E9A43E8" w14:textId="41241959" w:rsidR="005B22CE" w:rsidRPr="005B22CE" w:rsidRDefault="005B22CE" w:rsidP="005B22CE">
            <w:pPr>
              <w:autoSpaceDE w:val="0"/>
              <w:autoSpaceDN w:val="0"/>
              <w:adjustRightInd w:val="0"/>
              <w:rPr>
                <w:rFonts w:ascii="Calibri" w:hAnsi="Calibri" w:cs="Calibri"/>
                <w:sz w:val="20"/>
                <w:szCs w:val="20"/>
              </w:rPr>
            </w:pPr>
            <w:r w:rsidRPr="005B22CE">
              <w:rPr>
                <w:rFonts w:ascii="Calibri" w:hAnsi="Calibri" w:cs="Calibri"/>
                <w:sz w:val="20"/>
                <w:szCs w:val="20"/>
              </w:rPr>
              <w:t>nursing knowledge and ways of knowing, as well as knowledge from other disciplines, including</w:t>
            </w:r>
            <w:r>
              <w:rPr>
                <w:rFonts w:ascii="Calibri" w:hAnsi="Calibri" w:cs="Calibri"/>
                <w:sz w:val="20"/>
                <w:szCs w:val="20"/>
              </w:rPr>
              <w:t xml:space="preserve"> </w:t>
            </w:r>
            <w:r w:rsidRPr="005B22CE">
              <w:rPr>
                <w:rFonts w:ascii="Calibri" w:hAnsi="Calibri" w:cs="Calibri"/>
                <w:sz w:val="20"/>
                <w:szCs w:val="20"/>
              </w:rPr>
              <w:t xml:space="preserve">a foundation in liberal arts and natural and social sciences. This distinguishes the practice </w:t>
            </w:r>
            <w:r w:rsidRPr="005B22CE">
              <w:rPr>
                <w:rFonts w:ascii="Calibri" w:hAnsi="Calibri" w:cs="Calibri"/>
                <w:sz w:val="20"/>
                <w:szCs w:val="20"/>
              </w:rPr>
              <w:lastRenderedPageBreak/>
              <w:t>of</w:t>
            </w:r>
            <w:r>
              <w:rPr>
                <w:rFonts w:ascii="Calibri" w:hAnsi="Calibri" w:cs="Calibri"/>
                <w:sz w:val="20"/>
                <w:szCs w:val="20"/>
              </w:rPr>
              <w:t xml:space="preserve"> </w:t>
            </w:r>
            <w:r w:rsidRPr="005B22CE">
              <w:rPr>
                <w:rFonts w:ascii="Calibri" w:hAnsi="Calibri" w:cs="Calibri"/>
                <w:sz w:val="20"/>
                <w:szCs w:val="20"/>
              </w:rPr>
              <w:t>professional nursing and forms the basis for clinical judgment and</w:t>
            </w:r>
            <w:r>
              <w:rPr>
                <w:rFonts w:ascii="Calibri" w:hAnsi="Calibri" w:cs="Calibri"/>
                <w:sz w:val="20"/>
                <w:szCs w:val="20"/>
              </w:rPr>
              <w:t xml:space="preserve"> </w:t>
            </w:r>
            <w:r w:rsidRPr="005B22CE">
              <w:rPr>
                <w:rFonts w:ascii="Calibri" w:hAnsi="Calibri" w:cs="Calibri"/>
                <w:sz w:val="20"/>
                <w:szCs w:val="20"/>
              </w:rPr>
              <w:t xml:space="preserve">innovation in nursing practice </w:t>
            </w:r>
            <w:r w:rsidRPr="005B22CE">
              <w:rPr>
                <w:sz w:val="20"/>
                <w:szCs w:val="20"/>
              </w:rPr>
              <w:t>(AACN Essentials, p. 27)</w:t>
            </w:r>
            <w:r w:rsidRPr="005B22CE">
              <w:rPr>
                <w:rFonts w:ascii="Calibri" w:hAnsi="Calibri" w:cs="Calibri"/>
                <w:sz w:val="20"/>
                <w:szCs w:val="20"/>
              </w:rPr>
              <w:t>.</w:t>
            </w:r>
          </w:p>
          <w:p w14:paraId="6C8CBAB9" w14:textId="77777777" w:rsidR="005B22CE" w:rsidRDefault="005B22CE" w:rsidP="00ED05BC">
            <w:pPr>
              <w:autoSpaceDE w:val="0"/>
              <w:autoSpaceDN w:val="0"/>
              <w:adjustRightInd w:val="0"/>
              <w:rPr>
                <w:rFonts w:ascii="Calibri" w:hAnsi="Calibri" w:cs="Calibri"/>
                <w:sz w:val="20"/>
                <w:szCs w:val="20"/>
              </w:rPr>
            </w:pPr>
          </w:p>
          <w:p w14:paraId="0E1CE0B0" w14:textId="6CFE22DF" w:rsidR="00DB5BAF" w:rsidRDefault="00DB5BAF" w:rsidP="00ED05BC">
            <w:pPr>
              <w:autoSpaceDE w:val="0"/>
              <w:autoSpaceDN w:val="0"/>
              <w:adjustRightInd w:val="0"/>
              <w:rPr>
                <w:rFonts w:ascii="Calibri" w:hAnsi="Calibri" w:cs="Calibri"/>
                <w:sz w:val="20"/>
                <w:szCs w:val="20"/>
              </w:rPr>
            </w:pPr>
            <w:r>
              <w:rPr>
                <w:rFonts w:ascii="Calibri" w:hAnsi="Calibri" w:cs="Calibri"/>
                <w:sz w:val="20"/>
                <w:szCs w:val="20"/>
              </w:rPr>
              <w:t xml:space="preserve">AACN Essentials, </w:t>
            </w:r>
          </w:p>
          <w:p w14:paraId="049DC3A4" w14:textId="760DE526" w:rsidR="004C15C3" w:rsidRDefault="00DB5BAF" w:rsidP="00ED05BC">
            <w:pPr>
              <w:autoSpaceDE w:val="0"/>
              <w:autoSpaceDN w:val="0"/>
              <w:adjustRightInd w:val="0"/>
              <w:rPr>
                <w:rFonts w:ascii="Calibri" w:hAnsi="Calibri" w:cs="Calibri"/>
                <w:sz w:val="20"/>
                <w:szCs w:val="20"/>
              </w:rPr>
            </w:pPr>
            <w:r>
              <w:rPr>
                <w:rFonts w:ascii="Calibri" w:hAnsi="Calibri" w:cs="Calibri"/>
                <w:sz w:val="20"/>
                <w:szCs w:val="20"/>
              </w:rPr>
              <w:t>p. 16</w:t>
            </w:r>
          </w:p>
          <w:p w14:paraId="642B574B" w14:textId="77777777" w:rsidR="00DB5BAF" w:rsidRDefault="00DB5BAF" w:rsidP="00DB5BAF">
            <w:pPr>
              <w:autoSpaceDE w:val="0"/>
              <w:autoSpaceDN w:val="0"/>
              <w:adjustRightInd w:val="0"/>
              <w:rPr>
                <w:rFonts w:ascii="Calibri" w:hAnsi="Calibri" w:cs="Calibri"/>
                <w:sz w:val="20"/>
                <w:szCs w:val="20"/>
              </w:rPr>
            </w:pPr>
            <w:r w:rsidRPr="00DB5BAF">
              <w:rPr>
                <w:rFonts w:ascii="Calibri" w:hAnsi="Calibri" w:cs="Calibri"/>
                <w:sz w:val="20"/>
                <w:szCs w:val="20"/>
              </w:rPr>
              <w:t>“…the importance of nurses using the unique knowledge and insight of the profession to inform any practice role and to impact the challenges in health care…”</w:t>
            </w:r>
          </w:p>
          <w:p w14:paraId="16DB4C61" w14:textId="77777777" w:rsidR="00DB5BAF" w:rsidRDefault="00DB5BAF" w:rsidP="00DB5BAF">
            <w:pPr>
              <w:autoSpaceDE w:val="0"/>
              <w:autoSpaceDN w:val="0"/>
              <w:adjustRightInd w:val="0"/>
              <w:rPr>
                <w:rFonts w:ascii="Calibri" w:hAnsi="Calibri" w:cs="Calibri"/>
                <w:sz w:val="20"/>
                <w:szCs w:val="20"/>
              </w:rPr>
            </w:pPr>
          </w:p>
          <w:p w14:paraId="287679F5" w14:textId="77777777" w:rsidR="00DB5BAF" w:rsidRDefault="00DB5BAF" w:rsidP="00DB5BAF">
            <w:pPr>
              <w:autoSpaceDE w:val="0"/>
              <w:autoSpaceDN w:val="0"/>
              <w:adjustRightInd w:val="0"/>
              <w:rPr>
                <w:rFonts w:ascii="Calibri" w:hAnsi="Calibri" w:cs="Calibri"/>
                <w:sz w:val="20"/>
                <w:szCs w:val="20"/>
              </w:rPr>
            </w:pPr>
            <w:r>
              <w:rPr>
                <w:rFonts w:ascii="Calibri" w:hAnsi="Calibri" w:cs="Calibri"/>
                <w:sz w:val="20"/>
                <w:szCs w:val="20"/>
              </w:rPr>
              <w:t>p. 25</w:t>
            </w:r>
          </w:p>
          <w:p w14:paraId="266C46E2" w14:textId="74175F54" w:rsidR="00DB5BAF" w:rsidRPr="00DB5BAF" w:rsidRDefault="00DB5BAF" w:rsidP="00DB5BAF">
            <w:pPr>
              <w:autoSpaceDE w:val="0"/>
              <w:autoSpaceDN w:val="0"/>
              <w:adjustRightInd w:val="0"/>
              <w:rPr>
                <w:rFonts w:cstheme="minorHAnsi"/>
                <w:sz w:val="20"/>
                <w:szCs w:val="20"/>
              </w:rPr>
            </w:pPr>
            <w:r>
              <w:rPr>
                <w:rFonts w:cstheme="minorHAnsi"/>
                <w:sz w:val="20"/>
                <w:szCs w:val="20"/>
              </w:rPr>
              <w:t xml:space="preserve">Domain 1: </w:t>
            </w:r>
            <w:r w:rsidRPr="00DB5BAF">
              <w:rPr>
                <w:rFonts w:cstheme="minorHAnsi"/>
                <w:sz w:val="20"/>
                <w:szCs w:val="20"/>
              </w:rPr>
              <w:t>“Contextual Statement:</w:t>
            </w:r>
            <w:r w:rsidRPr="00DB5BAF">
              <w:rPr>
                <w:rFonts w:cstheme="minorHAnsi"/>
                <w:b/>
                <w:bCs/>
                <w:sz w:val="20"/>
                <w:szCs w:val="20"/>
              </w:rPr>
              <w:t xml:space="preserve"> </w:t>
            </w:r>
            <w:r w:rsidRPr="00DB5BAF">
              <w:rPr>
                <w:rFonts w:cstheme="minorHAnsi"/>
                <w:sz w:val="20"/>
                <w:szCs w:val="20"/>
              </w:rPr>
              <w:t>Knowledge for Nursing Practice provides the context for understanding</w:t>
            </w:r>
          </w:p>
          <w:p w14:paraId="3E214A71" w14:textId="0457A615" w:rsidR="00DB5BAF" w:rsidRPr="00DB5BAF" w:rsidRDefault="00DB5BAF" w:rsidP="00DB5BAF">
            <w:pPr>
              <w:autoSpaceDE w:val="0"/>
              <w:autoSpaceDN w:val="0"/>
              <w:adjustRightInd w:val="0"/>
              <w:rPr>
                <w:rFonts w:cstheme="minorHAnsi"/>
                <w:sz w:val="20"/>
                <w:szCs w:val="20"/>
              </w:rPr>
            </w:pPr>
            <w:r w:rsidRPr="00DB5BAF">
              <w:rPr>
                <w:rFonts w:cstheme="minorHAnsi"/>
                <w:sz w:val="20"/>
                <w:szCs w:val="20"/>
              </w:rPr>
              <w:t>nursing as a scientific discipline. The lens of nursing, informed by nursing history, knowledge,</w:t>
            </w:r>
            <w:r>
              <w:rPr>
                <w:rFonts w:cstheme="minorHAnsi"/>
                <w:sz w:val="20"/>
                <w:szCs w:val="20"/>
              </w:rPr>
              <w:t xml:space="preserve"> </w:t>
            </w:r>
            <w:r w:rsidRPr="00DB5BAF">
              <w:rPr>
                <w:rFonts w:cstheme="minorHAnsi"/>
                <w:sz w:val="20"/>
                <w:szCs w:val="20"/>
              </w:rPr>
              <w:t>and science, reflects nursing’s desire to incorporate multiple perspectives into nursing practice,</w:t>
            </w:r>
          </w:p>
          <w:p w14:paraId="537AD3E7" w14:textId="77777777" w:rsidR="00DB5BAF" w:rsidRDefault="00DB5BAF" w:rsidP="00DB5BAF">
            <w:pPr>
              <w:autoSpaceDE w:val="0"/>
              <w:autoSpaceDN w:val="0"/>
              <w:adjustRightInd w:val="0"/>
              <w:rPr>
                <w:rFonts w:cstheme="minorHAnsi"/>
                <w:sz w:val="20"/>
                <w:szCs w:val="20"/>
              </w:rPr>
            </w:pPr>
            <w:r w:rsidRPr="00DB5BAF">
              <w:rPr>
                <w:rFonts w:cstheme="minorHAnsi"/>
                <w:sz w:val="20"/>
                <w:szCs w:val="20"/>
              </w:rPr>
              <w:t>leading to nursing’s unique way of</w:t>
            </w:r>
            <w:r>
              <w:rPr>
                <w:rFonts w:cstheme="minorHAnsi"/>
                <w:sz w:val="20"/>
                <w:szCs w:val="20"/>
              </w:rPr>
              <w:t xml:space="preserve"> </w:t>
            </w:r>
            <w:r w:rsidRPr="00DB5BAF">
              <w:rPr>
                <w:rFonts w:cstheme="minorHAnsi"/>
                <w:sz w:val="20"/>
                <w:szCs w:val="20"/>
              </w:rPr>
              <w:t>knowing and caring.”</w:t>
            </w:r>
          </w:p>
          <w:p w14:paraId="2C6B741C" w14:textId="77777777" w:rsidR="00DB5BAF" w:rsidRDefault="00DB5BAF" w:rsidP="00DB5BAF">
            <w:pPr>
              <w:autoSpaceDE w:val="0"/>
              <w:autoSpaceDN w:val="0"/>
              <w:adjustRightInd w:val="0"/>
              <w:rPr>
                <w:rFonts w:ascii="Calibri" w:hAnsi="Calibri" w:cs="Calibri"/>
                <w:sz w:val="20"/>
                <w:szCs w:val="20"/>
              </w:rPr>
            </w:pPr>
          </w:p>
          <w:p w14:paraId="61B2AE13" w14:textId="77777777" w:rsidR="00DB5BAF" w:rsidRDefault="00DB5BAF" w:rsidP="00DB5BAF">
            <w:pPr>
              <w:autoSpaceDE w:val="0"/>
              <w:autoSpaceDN w:val="0"/>
              <w:adjustRightInd w:val="0"/>
              <w:rPr>
                <w:rFonts w:ascii="Calibri" w:hAnsi="Calibri" w:cs="Calibri"/>
                <w:sz w:val="20"/>
                <w:szCs w:val="20"/>
              </w:rPr>
            </w:pPr>
            <w:r>
              <w:rPr>
                <w:rFonts w:ascii="Calibri" w:hAnsi="Calibri" w:cs="Calibri"/>
                <w:sz w:val="20"/>
                <w:szCs w:val="20"/>
              </w:rPr>
              <w:t>p. 42</w:t>
            </w:r>
          </w:p>
          <w:p w14:paraId="2FEB3E2F" w14:textId="77777777" w:rsidR="00DB5BAF" w:rsidRDefault="00EC5FCA" w:rsidP="00DB5BAF">
            <w:pPr>
              <w:autoSpaceDE w:val="0"/>
              <w:autoSpaceDN w:val="0"/>
              <w:adjustRightInd w:val="0"/>
              <w:rPr>
                <w:rFonts w:ascii="Calibri" w:hAnsi="Calibri" w:cs="Calibri"/>
                <w:sz w:val="21"/>
                <w:szCs w:val="21"/>
              </w:rPr>
            </w:pPr>
            <w:r>
              <w:rPr>
                <w:rFonts w:ascii="Calibri" w:hAnsi="Calibri" w:cs="Calibri"/>
                <w:sz w:val="21"/>
                <w:szCs w:val="21"/>
              </w:rPr>
              <w:t>“…</w:t>
            </w:r>
            <w:r w:rsidR="00DB5BAF">
              <w:rPr>
                <w:rFonts w:ascii="Calibri" w:hAnsi="Calibri" w:cs="Calibri"/>
                <w:sz w:val="21"/>
                <w:szCs w:val="21"/>
              </w:rPr>
              <w:t>Communicate nursing’s unique disciplinary</w:t>
            </w:r>
            <w:r>
              <w:rPr>
                <w:rFonts w:ascii="Calibri" w:hAnsi="Calibri" w:cs="Calibri"/>
                <w:sz w:val="21"/>
                <w:szCs w:val="21"/>
              </w:rPr>
              <w:t xml:space="preserve"> </w:t>
            </w:r>
            <w:r w:rsidR="00DB5BAF">
              <w:rPr>
                <w:rFonts w:ascii="Calibri" w:hAnsi="Calibri" w:cs="Calibri"/>
                <w:sz w:val="21"/>
                <w:szCs w:val="21"/>
              </w:rPr>
              <w:t>knowledge to strengthen interprofessional</w:t>
            </w:r>
            <w:r>
              <w:rPr>
                <w:rFonts w:ascii="Calibri" w:hAnsi="Calibri" w:cs="Calibri"/>
                <w:sz w:val="21"/>
                <w:szCs w:val="21"/>
              </w:rPr>
              <w:t xml:space="preserve"> </w:t>
            </w:r>
            <w:r w:rsidR="00DB5BAF">
              <w:rPr>
                <w:rFonts w:ascii="Calibri" w:hAnsi="Calibri" w:cs="Calibri"/>
                <w:sz w:val="21"/>
                <w:szCs w:val="21"/>
              </w:rPr>
              <w:t>partnerships.</w:t>
            </w:r>
            <w:r>
              <w:rPr>
                <w:rFonts w:ascii="Calibri" w:hAnsi="Calibri" w:cs="Calibri"/>
                <w:sz w:val="21"/>
                <w:szCs w:val="21"/>
              </w:rPr>
              <w:t>”</w:t>
            </w:r>
          </w:p>
          <w:p w14:paraId="702F0D8B" w14:textId="77777777" w:rsidR="00EC5FCA" w:rsidRDefault="00EC5FCA" w:rsidP="00DB5BAF">
            <w:pPr>
              <w:autoSpaceDE w:val="0"/>
              <w:autoSpaceDN w:val="0"/>
              <w:adjustRightInd w:val="0"/>
              <w:rPr>
                <w:rFonts w:ascii="Calibri" w:hAnsi="Calibri" w:cs="Calibri"/>
                <w:sz w:val="21"/>
                <w:szCs w:val="21"/>
              </w:rPr>
            </w:pPr>
          </w:p>
          <w:p w14:paraId="78ADD4CA" w14:textId="77777777" w:rsidR="00EC5FCA" w:rsidRPr="00EC5FCA" w:rsidRDefault="00EC5FCA" w:rsidP="00DB5BAF">
            <w:pPr>
              <w:autoSpaceDE w:val="0"/>
              <w:autoSpaceDN w:val="0"/>
              <w:adjustRightInd w:val="0"/>
              <w:rPr>
                <w:rFonts w:ascii="Calibri" w:hAnsi="Calibri" w:cs="Calibri"/>
                <w:sz w:val="20"/>
                <w:szCs w:val="20"/>
              </w:rPr>
            </w:pPr>
            <w:r w:rsidRPr="00EC5FCA">
              <w:rPr>
                <w:rFonts w:ascii="Calibri" w:hAnsi="Calibri" w:cs="Calibri"/>
                <w:sz w:val="20"/>
                <w:szCs w:val="20"/>
              </w:rPr>
              <w:t>p. 42</w:t>
            </w:r>
          </w:p>
          <w:p w14:paraId="6BD23E3B" w14:textId="77777777" w:rsidR="00EC5FCA" w:rsidRDefault="00EC5FCA" w:rsidP="00EC5FCA">
            <w:pPr>
              <w:autoSpaceDE w:val="0"/>
              <w:autoSpaceDN w:val="0"/>
              <w:adjustRightInd w:val="0"/>
              <w:rPr>
                <w:rFonts w:ascii="Calibri" w:hAnsi="Calibri" w:cs="Calibri"/>
                <w:sz w:val="20"/>
                <w:szCs w:val="20"/>
              </w:rPr>
            </w:pPr>
            <w:r w:rsidRPr="00EC5FCA">
              <w:rPr>
                <w:rFonts w:ascii="Calibri" w:hAnsi="Calibri" w:cs="Calibri"/>
                <w:sz w:val="20"/>
                <w:szCs w:val="20"/>
              </w:rPr>
              <w:t>“Describe the importance of standardized nursing data to reflect the unique contribution of nursing practice.”</w:t>
            </w:r>
          </w:p>
          <w:p w14:paraId="512A8FB8" w14:textId="77777777" w:rsidR="00EC5FCA" w:rsidRDefault="00EC5FCA" w:rsidP="00EC5FCA">
            <w:pPr>
              <w:autoSpaceDE w:val="0"/>
              <w:autoSpaceDN w:val="0"/>
              <w:adjustRightInd w:val="0"/>
              <w:rPr>
                <w:rFonts w:ascii="Calibri" w:hAnsi="Calibri" w:cs="Calibri"/>
                <w:sz w:val="20"/>
                <w:szCs w:val="20"/>
              </w:rPr>
            </w:pPr>
          </w:p>
          <w:p w14:paraId="64815D9B" w14:textId="7BAA5923" w:rsidR="00EC5FCA" w:rsidRPr="00EC5FCA" w:rsidRDefault="00EC5FCA" w:rsidP="00EC5FCA">
            <w:pPr>
              <w:autoSpaceDE w:val="0"/>
              <w:autoSpaceDN w:val="0"/>
              <w:adjustRightInd w:val="0"/>
              <w:rPr>
                <w:rFonts w:ascii="Calibri" w:hAnsi="Calibri" w:cs="Calibri"/>
                <w:sz w:val="21"/>
                <w:szCs w:val="21"/>
              </w:rPr>
            </w:pPr>
          </w:p>
        </w:tc>
        <w:tc>
          <w:tcPr>
            <w:tcW w:w="3277" w:type="dxa"/>
          </w:tcPr>
          <w:p w14:paraId="2674A9EE" w14:textId="179AC6A8" w:rsidR="004C15C3" w:rsidRDefault="004C15C3" w:rsidP="004C15C3">
            <w:pPr>
              <w:rPr>
                <w:sz w:val="20"/>
                <w:szCs w:val="20"/>
              </w:rPr>
            </w:pPr>
            <w:r w:rsidRPr="00AA43A1">
              <w:rPr>
                <w:sz w:val="20"/>
                <w:szCs w:val="20"/>
              </w:rPr>
              <w:lastRenderedPageBreak/>
              <w:t>FONR</w:t>
            </w:r>
            <w:r w:rsidR="00CF4F86">
              <w:rPr>
                <w:sz w:val="20"/>
                <w:szCs w:val="20"/>
              </w:rPr>
              <w:t xml:space="preserve"> </w:t>
            </w:r>
            <w:r>
              <w:rPr>
                <w:sz w:val="20"/>
                <w:szCs w:val="20"/>
              </w:rPr>
              <w:t>“Nurses…can leverage their unique understanding of patient and community needs…” (p. 211).</w:t>
            </w:r>
          </w:p>
          <w:p w14:paraId="17BC8B83" w14:textId="0A2A18E5" w:rsidR="004C15C3" w:rsidRDefault="004C15C3" w:rsidP="004C15C3">
            <w:pPr>
              <w:rPr>
                <w:sz w:val="20"/>
                <w:szCs w:val="20"/>
              </w:rPr>
            </w:pPr>
          </w:p>
          <w:p w14:paraId="08E9A776" w14:textId="76331610" w:rsidR="00E84422" w:rsidRPr="00E84422" w:rsidRDefault="00E84422" w:rsidP="00E84422">
            <w:pPr>
              <w:autoSpaceDE w:val="0"/>
              <w:autoSpaceDN w:val="0"/>
              <w:adjustRightInd w:val="0"/>
              <w:rPr>
                <w:rFonts w:ascii="Times-BoldItalic" w:hAnsi="Times-BoldItalic" w:cs="Times-BoldItalic"/>
                <w:sz w:val="20"/>
                <w:szCs w:val="20"/>
              </w:rPr>
            </w:pPr>
            <w:r>
              <w:rPr>
                <w:rFonts w:ascii="Times-BoldItalic" w:hAnsi="Times-BoldItalic" w:cs="Times-BoldItalic"/>
                <w:sz w:val="20"/>
                <w:szCs w:val="20"/>
              </w:rPr>
              <w:t>“</w:t>
            </w:r>
            <w:r w:rsidRPr="00E84422">
              <w:rPr>
                <w:rFonts w:ascii="Times-BoldItalic" w:hAnsi="Times-BoldItalic" w:cs="Times-BoldItalic"/>
                <w:sz w:val="20"/>
                <w:szCs w:val="20"/>
              </w:rPr>
              <w:t>Conclusion 5-2: Nurses can use their unique expertise and perspective</w:t>
            </w:r>
          </w:p>
          <w:p w14:paraId="06CA07E1" w14:textId="77777777" w:rsidR="00E84422" w:rsidRPr="00E84422" w:rsidRDefault="00E84422" w:rsidP="00E84422">
            <w:pPr>
              <w:autoSpaceDE w:val="0"/>
              <w:autoSpaceDN w:val="0"/>
              <w:adjustRightInd w:val="0"/>
              <w:rPr>
                <w:rFonts w:ascii="Times-BoldItalic" w:hAnsi="Times-BoldItalic" w:cs="Times-BoldItalic"/>
                <w:sz w:val="20"/>
                <w:szCs w:val="20"/>
              </w:rPr>
            </w:pPr>
            <w:r w:rsidRPr="00E84422">
              <w:rPr>
                <w:rFonts w:ascii="Times-BoldItalic" w:hAnsi="Times-BoldItalic" w:cs="Times-BoldItalic"/>
                <w:sz w:val="20"/>
                <w:szCs w:val="20"/>
              </w:rPr>
              <w:t>to help develop and advocate for policies and programs that promote</w:t>
            </w:r>
          </w:p>
          <w:p w14:paraId="0C09D014" w14:textId="5B476F92" w:rsidR="00E84422" w:rsidRDefault="00E84422" w:rsidP="00E84422">
            <w:pPr>
              <w:rPr>
                <w:rFonts w:ascii="Times-BoldItalic" w:hAnsi="Times-BoldItalic" w:cs="Times-BoldItalic"/>
                <w:sz w:val="20"/>
                <w:szCs w:val="20"/>
              </w:rPr>
            </w:pPr>
            <w:r w:rsidRPr="00E84422">
              <w:rPr>
                <w:rFonts w:ascii="Times-BoldItalic" w:hAnsi="Times-BoldItalic" w:cs="Times-BoldItalic"/>
                <w:sz w:val="20"/>
                <w:szCs w:val="20"/>
              </w:rPr>
              <w:t>health equity</w:t>
            </w:r>
            <w:r>
              <w:rPr>
                <w:rFonts w:ascii="Times-BoldItalic" w:hAnsi="Times-BoldItalic" w:cs="Times-BoldItalic"/>
                <w:sz w:val="20"/>
                <w:szCs w:val="20"/>
              </w:rPr>
              <w:t>” p. 142</w:t>
            </w:r>
            <w:r w:rsidRPr="00E84422">
              <w:rPr>
                <w:rFonts w:ascii="Times-BoldItalic" w:hAnsi="Times-BoldItalic" w:cs="Times-BoldItalic"/>
                <w:sz w:val="20"/>
                <w:szCs w:val="20"/>
              </w:rPr>
              <w:t>.</w:t>
            </w:r>
          </w:p>
          <w:p w14:paraId="1722D8CF" w14:textId="77777777" w:rsidR="00E84422" w:rsidRPr="00E84422" w:rsidRDefault="00E84422" w:rsidP="00E84422">
            <w:pPr>
              <w:rPr>
                <w:sz w:val="20"/>
                <w:szCs w:val="20"/>
              </w:rPr>
            </w:pPr>
          </w:p>
          <w:p w14:paraId="4C09B646" w14:textId="225C5F2E" w:rsidR="004C15C3" w:rsidRDefault="004C15C3" w:rsidP="004C15C3">
            <w:pPr>
              <w:rPr>
                <w:sz w:val="20"/>
                <w:szCs w:val="20"/>
              </w:rPr>
            </w:pPr>
            <w:r>
              <w:rPr>
                <w:sz w:val="20"/>
                <w:szCs w:val="20"/>
              </w:rPr>
              <w:lastRenderedPageBreak/>
              <w:t>Conclusion</w:t>
            </w:r>
            <w:r w:rsidR="00E84422">
              <w:rPr>
                <w:sz w:val="20"/>
                <w:szCs w:val="20"/>
              </w:rPr>
              <w:t>s 4-1 &amp;</w:t>
            </w:r>
            <w:r>
              <w:rPr>
                <w:sz w:val="20"/>
                <w:szCs w:val="20"/>
              </w:rPr>
              <w:t xml:space="preserve"> 4-2</w:t>
            </w:r>
            <w:r w:rsidRPr="00AA43A1">
              <w:rPr>
                <w:sz w:val="20"/>
                <w:szCs w:val="20"/>
              </w:rPr>
              <w:t>,” pp. 11</w:t>
            </w:r>
            <w:r>
              <w:rPr>
                <w:sz w:val="20"/>
                <w:szCs w:val="20"/>
              </w:rPr>
              <w:t>9</w:t>
            </w:r>
            <w:r w:rsidRPr="00AA43A1">
              <w:rPr>
                <w:sz w:val="20"/>
                <w:szCs w:val="20"/>
              </w:rPr>
              <w:t>-1</w:t>
            </w:r>
            <w:r>
              <w:rPr>
                <w:sz w:val="20"/>
                <w:szCs w:val="20"/>
              </w:rPr>
              <w:t>20:</w:t>
            </w:r>
          </w:p>
          <w:p w14:paraId="4269967F" w14:textId="7D26C5F1" w:rsidR="00E84422" w:rsidRPr="00E84422" w:rsidRDefault="00E84422" w:rsidP="00E84422">
            <w:pPr>
              <w:autoSpaceDE w:val="0"/>
              <w:autoSpaceDN w:val="0"/>
              <w:adjustRightInd w:val="0"/>
              <w:rPr>
                <w:rFonts w:cstheme="minorHAnsi"/>
                <w:sz w:val="20"/>
                <w:szCs w:val="20"/>
              </w:rPr>
            </w:pPr>
            <w:r w:rsidRPr="00E84422">
              <w:rPr>
                <w:rFonts w:cstheme="minorHAnsi"/>
                <w:sz w:val="20"/>
                <w:szCs w:val="20"/>
              </w:rPr>
              <w:t>Conclusion 4-1: Nurses have substantial and often untapped expertise</w:t>
            </w:r>
            <w:r>
              <w:rPr>
                <w:rFonts w:cstheme="minorHAnsi"/>
                <w:sz w:val="20"/>
                <w:szCs w:val="20"/>
              </w:rPr>
              <w:t xml:space="preserve"> </w:t>
            </w:r>
            <w:r w:rsidRPr="00E84422">
              <w:rPr>
                <w:rFonts w:cstheme="minorHAnsi"/>
                <w:sz w:val="20"/>
                <w:szCs w:val="20"/>
              </w:rPr>
              <w:t>to help individuals and communities access high-quality health care,</w:t>
            </w:r>
            <w:r>
              <w:rPr>
                <w:rFonts w:cstheme="minorHAnsi"/>
                <w:sz w:val="20"/>
                <w:szCs w:val="20"/>
              </w:rPr>
              <w:t xml:space="preserve"> </w:t>
            </w:r>
            <w:r w:rsidRPr="00E84422">
              <w:rPr>
                <w:rFonts w:cstheme="minorHAnsi"/>
                <w:sz w:val="20"/>
                <w:szCs w:val="20"/>
              </w:rPr>
              <w:t>particularly in providing care for people in underserved rural and urban</w:t>
            </w:r>
            <w:r>
              <w:rPr>
                <w:rFonts w:cstheme="minorHAnsi"/>
                <w:sz w:val="20"/>
                <w:szCs w:val="20"/>
              </w:rPr>
              <w:t xml:space="preserve"> </w:t>
            </w:r>
            <w:r w:rsidRPr="00E84422">
              <w:rPr>
                <w:rFonts w:cstheme="minorHAnsi"/>
                <w:sz w:val="20"/>
                <w:szCs w:val="20"/>
              </w:rPr>
              <w:t>areas. Improved telehealth technology and payment systems have</w:t>
            </w:r>
            <w:r>
              <w:rPr>
                <w:rFonts w:cstheme="minorHAnsi"/>
                <w:sz w:val="20"/>
                <w:szCs w:val="20"/>
              </w:rPr>
              <w:t xml:space="preserve"> </w:t>
            </w:r>
            <w:r w:rsidRPr="00E84422">
              <w:rPr>
                <w:rFonts w:cstheme="minorHAnsi"/>
                <w:sz w:val="20"/>
                <w:szCs w:val="20"/>
              </w:rPr>
              <w:t>the potential to increase access, allowing patients to obtain their care</w:t>
            </w:r>
            <w:r>
              <w:rPr>
                <w:rFonts w:cstheme="minorHAnsi"/>
                <w:sz w:val="20"/>
                <w:szCs w:val="20"/>
              </w:rPr>
              <w:t xml:space="preserve"> </w:t>
            </w:r>
            <w:r w:rsidRPr="00E84422">
              <w:rPr>
                <w:rFonts w:cstheme="minorHAnsi"/>
                <w:sz w:val="20"/>
                <w:szCs w:val="20"/>
              </w:rPr>
              <w:t>in their homes and neighborhoods. However, the ability of nurses to</w:t>
            </w:r>
            <w:r>
              <w:rPr>
                <w:rFonts w:cstheme="minorHAnsi"/>
                <w:sz w:val="20"/>
                <w:szCs w:val="20"/>
              </w:rPr>
              <w:t xml:space="preserve"> </w:t>
            </w:r>
            <w:r w:rsidRPr="00E84422">
              <w:rPr>
                <w:rFonts w:cstheme="minorHAnsi"/>
                <w:sz w:val="20"/>
                <w:szCs w:val="20"/>
              </w:rPr>
              <w:t>practice fully in these and other settings is limited by state and federal</w:t>
            </w:r>
            <w:r>
              <w:rPr>
                <w:rFonts w:cstheme="minorHAnsi"/>
                <w:sz w:val="20"/>
                <w:szCs w:val="20"/>
              </w:rPr>
              <w:t xml:space="preserve"> </w:t>
            </w:r>
            <w:r w:rsidRPr="00E84422">
              <w:rPr>
                <w:rFonts w:cstheme="minorHAnsi"/>
                <w:sz w:val="20"/>
                <w:szCs w:val="20"/>
              </w:rPr>
              <w:t>laws that prohibit them from working to the full extent of their education</w:t>
            </w:r>
          </w:p>
          <w:p w14:paraId="67BF5C3A" w14:textId="77777777" w:rsidR="00E84422" w:rsidRPr="00E84422" w:rsidRDefault="00E84422" w:rsidP="00E84422">
            <w:pPr>
              <w:autoSpaceDE w:val="0"/>
              <w:autoSpaceDN w:val="0"/>
              <w:adjustRightInd w:val="0"/>
              <w:rPr>
                <w:rFonts w:cstheme="minorHAnsi"/>
                <w:sz w:val="20"/>
                <w:szCs w:val="20"/>
              </w:rPr>
            </w:pPr>
            <w:r w:rsidRPr="00E84422">
              <w:rPr>
                <w:rFonts w:cstheme="minorHAnsi"/>
                <w:sz w:val="20"/>
                <w:szCs w:val="20"/>
              </w:rPr>
              <w:t>and training.</w:t>
            </w:r>
          </w:p>
          <w:p w14:paraId="334211F6" w14:textId="77777777" w:rsidR="00E84422" w:rsidRPr="00E84422" w:rsidRDefault="00E84422" w:rsidP="00E84422">
            <w:pPr>
              <w:autoSpaceDE w:val="0"/>
              <w:autoSpaceDN w:val="0"/>
              <w:adjustRightInd w:val="0"/>
              <w:rPr>
                <w:rFonts w:cstheme="minorHAnsi"/>
                <w:sz w:val="20"/>
                <w:szCs w:val="20"/>
              </w:rPr>
            </w:pPr>
            <w:r w:rsidRPr="00E84422">
              <w:rPr>
                <w:rFonts w:cstheme="minorHAnsi"/>
                <w:sz w:val="20"/>
                <w:szCs w:val="20"/>
              </w:rPr>
              <w:t>Conclusion 4-2: Nurses are uniquely qualified to improve the quality</w:t>
            </w:r>
          </w:p>
          <w:p w14:paraId="38B33E06" w14:textId="2533A839" w:rsidR="00E84422" w:rsidRPr="00E84422" w:rsidRDefault="00E84422" w:rsidP="00E84422">
            <w:pPr>
              <w:autoSpaceDE w:val="0"/>
              <w:autoSpaceDN w:val="0"/>
              <w:adjustRightInd w:val="0"/>
              <w:rPr>
                <w:rFonts w:cstheme="minorHAnsi"/>
                <w:sz w:val="20"/>
                <w:szCs w:val="20"/>
              </w:rPr>
            </w:pPr>
            <w:r w:rsidRPr="00E84422">
              <w:rPr>
                <w:rFonts w:cstheme="minorHAnsi"/>
                <w:sz w:val="20"/>
                <w:szCs w:val="20"/>
              </w:rPr>
              <w:t>of health care by helping people navigate the health care system; providing close monitoring, coordination, and follow-up across the</w:t>
            </w:r>
            <w:r>
              <w:rPr>
                <w:rFonts w:cstheme="minorHAnsi"/>
                <w:sz w:val="20"/>
                <w:szCs w:val="20"/>
              </w:rPr>
              <w:t xml:space="preserve"> </w:t>
            </w:r>
            <w:r w:rsidRPr="00E84422">
              <w:rPr>
                <w:rFonts w:cstheme="minorHAnsi"/>
                <w:sz w:val="20"/>
                <w:szCs w:val="20"/>
              </w:rPr>
              <w:t>care continuum; focusing care on the whole person; and providing</w:t>
            </w:r>
          </w:p>
          <w:p w14:paraId="4F5F354F" w14:textId="75DAD8BA" w:rsidR="00E84422" w:rsidRPr="00E84422" w:rsidRDefault="00E84422" w:rsidP="00E84422">
            <w:pPr>
              <w:autoSpaceDE w:val="0"/>
              <w:autoSpaceDN w:val="0"/>
              <w:adjustRightInd w:val="0"/>
              <w:rPr>
                <w:rFonts w:cstheme="minorHAnsi"/>
                <w:sz w:val="20"/>
                <w:szCs w:val="20"/>
              </w:rPr>
            </w:pPr>
            <w:r w:rsidRPr="00E84422">
              <w:rPr>
                <w:rFonts w:cstheme="minorHAnsi"/>
                <w:sz w:val="20"/>
                <w:szCs w:val="20"/>
              </w:rPr>
              <w:t>care that is culturally respectful and appropriate. Through a team-based</w:t>
            </w:r>
          </w:p>
          <w:p w14:paraId="128CFC55" w14:textId="77777777" w:rsidR="00E84422" w:rsidRPr="00E84422" w:rsidRDefault="00E84422" w:rsidP="00E84422">
            <w:pPr>
              <w:autoSpaceDE w:val="0"/>
              <w:autoSpaceDN w:val="0"/>
              <w:adjustRightInd w:val="0"/>
              <w:rPr>
                <w:rFonts w:cstheme="minorHAnsi"/>
                <w:sz w:val="20"/>
                <w:szCs w:val="20"/>
              </w:rPr>
            </w:pPr>
            <w:r w:rsidRPr="00E84422">
              <w:rPr>
                <w:rFonts w:cstheme="minorHAnsi"/>
                <w:sz w:val="20"/>
                <w:szCs w:val="20"/>
              </w:rPr>
              <w:t>approach, nurses can partner with professionals and community</w:t>
            </w:r>
          </w:p>
          <w:p w14:paraId="45B8FA2F" w14:textId="77777777" w:rsidR="00E84422" w:rsidRPr="00E84422" w:rsidRDefault="00E84422" w:rsidP="00E84422">
            <w:pPr>
              <w:autoSpaceDE w:val="0"/>
              <w:autoSpaceDN w:val="0"/>
              <w:adjustRightInd w:val="0"/>
              <w:rPr>
                <w:rFonts w:cstheme="minorHAnsi"/>
                <w:sz w:val="20"/>
                <w:szCs w:val="20"/>
              </w:rPr>
            </w:pPr>
            <w:r w:rsidRPr="00E84422">
              <w:rPr>
                <w:rFonts w:cstheme="minorHAnsi"/>
                <w:sz w:val="20"/>
                <w:szCs w:val="20"/>
              </w:rPr>
              <w:t>members to lead and manage teams and connect clinical care, public</w:t>
            </w:r>
          </w:p>
          <w:p w14:paraId="6462A47B" w14:textId="77777777" w:rsidR="00E84422" w:rsidRPr="00E84422" w:rsidRDefault="00E84422" w:rsidP="00E84422">
            <w:pPr>
              <w:autoSpaceDE w:val="0"/>
              <w:autoSpaceDN w:val="0"/>
              <w:adjustRightInd w:val="0"/>
              <w:rPr>
                <w:rFonts w:cstheme="minorHAnsi"/>
                <w:sz w:val="20"/>
                <w:szCs w:val="20"/>
              </w:rPr>
            </w:pPr>
            <w:r w:rsidRPr="00E84422">
              <w:rPr>
                <w:rFonts w:cstheme="minorHAnsi"/>
                <w:sz w:val="20"/>
                <w:szCs w:val="20"/>
              </w:rPr>
              <w:t>health, and social services while building trust with communities and</w:t>
            </w:r>
          </w:p>
          <w:p w14:paraId="4CBC24DA" w14:textId="374CE07F" w:rsidR="00E84422" w:rsidRPr="00E84422" w:rsidRDefault="00E84422" w:rsidP="00E84422">
            <w:pPr>
              <w:rPr>
                <w:rFonts w:cstheme="minorHAnsi"/>
                <w:sz w:val="20"/>
                <w:szCs w:val="20"/>
              </w:rPr>
            </w:pPr>
            <w:r w:rsidRPr="00E84422">
              <w:rPr>
                <w:rFonts w:cstheme="minorHAnsi"/>
                <w:sz w:val="20"/>
                <w:szCs w:val="20"/>
              </w:rPr>
              <w:t>individuals.</w:t>
            </w:r>
          </w:p>
          <w:p w14:paraId="093546A1" w14:textId="77777777" w:rsidR="004C15C3" w:rsidRPr="00AA43A1" w:rsidRDefault="004C15C3" w:rsidP="004C15C3">
            <w:pPr>
              <w:rPr>
                <w:sz w:val="20"/>
                <w:szCs w:val="20"/>
              </w:rPr>
            </w:pPr>
          </w:p>
          <w:p w14:paraId="51F0FAE5" w14:textId="77777777" w:rsidR="004C15C3" w:rsidRPr="00AA43A1" w:rsidRDefault="004C15C3" w:rsidP="00FC5DBC">
            <w:pPr>
              <w:rPr>
                <w:sz w:val="20"/>
                <w:szCs w:val="20"/>
              </w:rPr>
            </w:pPr>
          </w:p>
        </w:tc>
        <w:tc>
          <w:tcPr>
            <w:tcW w:w="3414" w:type="dxa"/>
          </w:tcPr>
          <w:p w14:paraId="434D503C" w14:textId="77777777" w:rsidR="000E50D2" w:rsidRDefault="000E50D2" w:rsidP="000E50D2">
            <w:pPr>
              <w:rPr>
                <w:rFonts w:cstheme="minorHAnsi"/>
                <w:color w:val="0D1941"/>
                <w:sz w:val="20"/>
                <w:szCs w:val="20"/>
              </w:rPr>
            </w:pPr>
            <w:r w:rsidRPr="00383902">
              <w:rPr>
                <w:sz w:val="20"/>
                <w:szCs w:val="20"/>
              </w:rPr>
              <w:lastRenderedPageBreak/>
              <w:t>Healthy People 2030 (HP) Website</w:t>
            </w:r>
            <w:r>
              <w:rPr>
                <w:sz w:val="20"/>
                <w:szCs w:val="20"/>
              </w:rPr>
              <w:t xml:space="preserve">: </w:t>
            </w:r>
            <w:r w:rsidRPr="00383902">
              <w:rPr>
                <w:sz w:val="20"/>
                <w:szCs w:val="20"/>
              </w:rPr>
              <w:t>(</w:t>
            </w:r>
            <w:hyperlink r:id="rId10" w:history="1">
              <w:r w:rsidRPr="00383902">
                <w:rPr>
                  <w:rStyle w:val="Hyperlink"/>
                  <w:sz w:val="20"/>
                  <w:szCs w:val="20"/>
                </w:rPr>
                <w:t>https://health.gov/healthypeople</w:t>
              </w:r>
            </w:hyperlink>
            <w:r>
              <w:rPr>
                <w:rFonts w:cstheme="minorHAnsi"/>
                <w:color w:val="0D1941"/>
                <w:sz w:val="20"/>
                <w:szCs w:val="20"/>
              </w:rPr>
              <w:t xml:space="preserve"> </w:t>
            </w:r>
          </w:p>
          <w:p w14:paraId="4C0A06A7" w14:textId="77777777" w:rsidR="000E50D2" w:rsidRDefault="000E50D2" w:rsidP="000E50D2">
            <w:pPr>
              <w:rPr>
                <w:rFonts w:cstheme="minorHAnsi"/>
                <w:color w:val="0D1941"/>
                <w:sz w:val="20"/>
                <w:szCs w:val="20"/>
              </w:rPr>
            </w:pPr>
          </w:p>
          <w:p w14:paraId="38BB254D" w14:textId="6234BCD9" w:rsidR="000E50D2" w:rsidRDefault="000E50D2" w:rsidP="000E50D2">
            <w:pPr>
              <w:rPr>
                <w:rFonts w:cstheme="minorHAnsi"/>
                <w:color w:val="0D1941"/>
                <w:sz w:val="20"/>
                <w:szCs w:val="20"/>
              </w:rPr>
            </w:pPr>
            <w:r>
              <w:rPr>
                <w:rFonts w:cstheme="minorHAnsi"/>
                <w:color w:val="0D1941"/>
                <w:sz w:val="20"/>
                <w:szCs w:val="20"/>
              </w:rPr>
              <w:t xml:space="preserve">See reference to the need for increases in numbers of nurses practicing in unique nursing roles to support the health of adolescents: </w:t>
            </w:r>
          </w:p>
          <w:p w14:paraId="1F060AF3" w14:textId="77777777" w:rsidR="004C15C3" w:rsidRDefault="000E50D2" w:rsidP="00ED05BC">
            <w:pPr>
              <w:rPr>
                <w:rStyle w:val="Strong"/>
                <w:rFonts w:cstheme="minorHAnsi"/>
                <w:b w:val="0"/>
                <w:bCs w:val="0"/>
                <w:sz w:val="20"/>
                <w:szCs w:val="20"/>
              </w:rPr>
            </w:pPr>
            <w:r w:rsidRPr="000E50D2">
              <w:rPr>
                <w:rFonts w:cstheme="minorHAnsi"/>
                <w:b/>
                <w:bCs/>
                <w:color w:val="0D1941"/>
                <w:sz w:val="20"/>
                <w:szCs w:val="20"/>
              </w:rPr>
              <w:t>“</w:t>
            </w:r>
            <w:r w:rsidRPr="000E50D2">
              <w:rPr>
                <w:rStyle w:val="Strong"/>
                <w:rFonts w:cstheme="minorHAnsi"/>
                <w:b w:val="0"/>
                <w:bCs w:val="0"/>
                <w:color w:val="0D1941"/>
                <w:sz w:val="20"/>
                <w:szCs w:val="20"/>
              </w:rPr>
              <w:t xml:space="preserve">Increase the proportion of secondary schools with a full-time registered </w:t>
            </w:r>
            <w:r w:rsidRPr="000E50D2">
              <w:rPr>
                <w:rStyle w:val="Strong"/>
                <w:rFonts w:cstheme="minorHAnsi"/>
                <w:b w:val="0"/>
                <w:bCs w:val="0"/>
                <w:color w:val="0D1941"/>
                <w:sz w:val="20"/>
                <w:szCs w:val="20"/>
              </w:rPr>
              <w:lastRenderedPageBreak/>
              <w:t>nurse who provides health services to students”</w:t>
            </w:r>
            <w:r w:rsidRPr="000E50D2">
              <w:rPr>
                <w:rStyle w:val="Strong"/>
                <w:rFonts w:cstheme="minorHAnsi"/>
                <w:b w:val="0"/>
                <w:bCs w:val="0"/>
                <w:sz w:val="20"/>
                <w:szCs w:val="20"/>
              </w:rPr>
              <w:t xml:space="preserve"> </w:t>
            </w:r>
          </w:p>
          <w:p w14:paraId="0F82E8DD" w14:textId="77777777" w:rsidR="000E50D2" w:rsidRDefault="000E50D2" w:rsidP="00ED05BC">
            <w:pPr>
              <w:rPr>
                <w:rStyle w:val="Strong"/>
              </w:rPr>
            </w:pPr>
          </w:p>
          <w:p w14:paraId="667966FA" w14:textId="47DB97C5" w:rsidR="000E50D2" w:rsidRPr="000E50D2" w:rsidRDefault="000E50D2" w:rsidP="00ED05BC">
            <w:pPr>
              <w:rPr>
                <w:rFonts w:cstheme="minorHAnsi"/>
                <w:sz w:val="20"/>
                <w:szCs w:val="20"/>
              </w:rPr>
            </w:pPr>
            <w:r w:rsidRPr="000E50D2">
              <w:rPr>
                <w:rStyle w:val="Strong"/>
                <w:rFonts w:cstheme="minorHAnsi"/>
                <w:b w:val="0"/>
                <w:bCs w:val="0"/>
                <w:sz w:val="20"/>
                <w:szCs w:val="20"/>
              </w:rPr>
              <w:t xml:space="preserve">See reference to the need for nurses to receive additional education in population health in order to </w:t>
            </w:r>
            <w:r w:rsidR="00960E82" w:rsidRPr="00960E82">
              <w:rPr>
                <w:rStyle w:val="Strong"/>
                <w:rFonts w:cstheme="minorHAnsi"/>
                <w:b w:val="0"/>
                <w:bCs w:val="0"/>
                <w:sz w:val="20"/>
                <w:szCs w:val="20"/>
              </w:rPr>
              <w:t xml:space="preserve">serve in </w:t>
            </w:r>
            <w:r w:rsidR="00960E82">
              <w:rPr>
                <w:rStyle w:val="Strong"/>
                <w:rFonts w:cstheme="minorHAnsi"/>
                <w:b w:val="0"/>
                <w:bCs w:val="0"/>
                <w:sz w:val="20"/>
                <w:szCs w:val="20"/>
              </w:rPr>
              <w:t xml:space="preserve">(uniquely) </w:t>
            </w:r>
            <w:r w:rsidR="00960E82" w:rsidRPr="00960E82">
              <w:rPr>
                <w:rStyle w:val="Strong"/>
                <w:rFonts w:cstheme="minorHAnsi"/>
                <w:b w:val="0"/>
                <w:bCs w:val="0"/>
                <w:sz w:val="20"/>
                <w:szCs w:val="20"/>
              </w:rPr>
              <w:t>nursing roles</w:t>
            </w:r>
            <w:r w:rsidR="00960E82">
              <w:rPr>
                <w:rStyle w:val="Strong"/>
                <w:rFonts w:cstheme="minorHAnsi"/>
              </w:rPr>
              <w:t xml:space="preserve"> </w:t>
            </w:r>
            <w:r w:rsidR="00960E82">
              <w:rPr>
                <w:rStyle w:val="Strong"/>
                <w:rFonts w:cstheme="minorHAnsi"/>
                <w:b w:val="0"/>
                <w:bCs w:val="0"/>
                <w:sz w:val="20"/>
                <w:szCs w:val="20"/>
              </w:rPr>
              <w:t xml:space="preserve">that </w:t>
            </w:r>
            <w:r w:rsidRPr="000E50D2">
              <w:rPr>
                <w:rStyle w:val="Strong"/>
                <w:rFonts w:cstheme="minorHAnsi"/>
                <w:b w:val="0"/>
                <w:bCs w:val="0"/>
                <w:sz w:val="20"/>
                <w:szCs w:val="20"/>
              </w:rPr>
              <w:t xml:space="preserve">support overarching population health priorities: </w:t>
            </w:r>
          </w:p>
          <w:p w14:paraId="5A7083AC" w14:textId="77777777" w:rsidR="000E50D2" w:rsidRPr="000E50D2" w:rsidRDefault="000E50D2" w:rsidP="000E50D2">
            <w:pPr>
              <w:rPr>
                <w:rStyle w:val="Strong"/>
                <w:rFonts w:ascii="Arial" w:hAnsi="Arial" w:cs="Arial"/>
                <w:color w:val="0D1941"/>
                <w:sz w:val="27"/>
                <w:szCs w:val="27"/>
              </w:rPr>
            </w:pPr>
            <w:r w:rsidRPr="000E50D2">
              <w:rPr>
                <w:rFonts w:cstheme="minorHAnsi"/>
                <w:color w:val="0D1941"/>
                <w:sz w:val="20"/>
                <w:szCs w:val="20"/>
              </w:rPr>
              <w:t xml:space="preserve">“Increase the inclusion of core clinical prevention and population health content in undergraduate nursing and graduate nurse practitioner training programs” </w:t>
            </w:r>
          </w:p>
          <w:p w14:paraId="24D5F923" w14:textId="1D47CC68" w:rsidR="000E50D2" w:rsidRPr="000E50D2" w:rsidRDefault="000E50D2" w:rsidP="00ED05BC">
            <w:pPr>
              <w:rPr>
                <w:rFonts w:cstheme="minorHAnsi"/>
                <w:b/>
                <w:bCs/>
                <w:color w:val="0D1941"/>
                <w:sz w:val="20"/>
                <w:szCs w:val="20"/>
              </w:rPr>
            </w:pPr>
          </w:p>
        </w:tc>
      </w:tr>
      <w:tr w:rsidR="00BC711C" w14:paraId="4FE1127D" w14:textId="77777777" w:rsidTr="00BC711C">
        <w:tc>
          <w:tcPr>
            <w:tcW w:w="3036" w:type="dxa"/>
          </w:tcPr>
          <w:p w14:paraId="728F6EE3" w14:textId="522F7986" w:rsidR="002B2371" w:rsidRPr="000D3AFC" w:rsidRDefault="002B2371" w:rsidP="00ED05BC">
            <w:pPr>
              <w:autoSpaceDE w:val="0"/>
              <w:autoSpaceDN w:val="0"/>
              <w:adjustRightInd w:val="0"/>
              <w:rPr>
                <w:rFonts w:ascii="Calibri" w:hAnsi="Calibri" w:cs="Calibri"/>
                <w:b/>
                <w:bCs/>
                <w:sz w:val="24"/>
                <w:szCs w:val="24"/>
              </w:rPr>
            </w:pPr>
            <w:r w:rsidRPr="000D3AFC">
              <w:rPr>
                <w:rFonts w:ascii="Calibri" w:hAnsi="Calibri" w:cs="Calibri"/>
                <w:b/>
                <w:bCs/>
                <w:sz w:val="24"/>
                <w:szCs w:val="24"/>
              </w:rPr>
              <w:lastRenderedPageBreak/>
              <w:t>Person-Centered Care</w:t>
            </w:r>
          </w:p>
          <w:p w14:paraId="1E54CD32" w14:textId="501ACB11" w:rsidR="002105D6" w:rsidRPr="000D3AFC" w:rsidRDefault="002105D6" w:rsidP="00ED05BC">
            <w:pPr>
              <w:rPr>
                <w:sz w:val="24"/>
                <w:szCs w:val="24"/>
              </w:rPr>
            </w:pPr>
          </w:p>
        </w:tc>
        <w:tc>
          <w:tcPr>
            <w:tcW w:w="3588" w:type="dxa"/>
          </w:tcPr>
          <w:p w14:paraId="0AA5226A" w14:textId="1CF81588" w:rsidR="002B2371" w:rsidRPr="002B2371" w:rsidRDefault="002B2371" w:rsidP="002B2371">
            <w:pPr>
              <w:autoSpaceDE w:val="0"/>
              <w:autoSpaceDN w:val="0"/>
              <w:adjustRightInd w:val="0"/>
              <w:rPr>
                <w:rFonts w:ascii="Calibri" w:hAnsi="Calibri" w:cs="Calibri"/>
                <w:sz w:val="20"/>
                <w:szCs w:val="20"/>
              </w:rPr>
            </w:pPr>
            <w:r w:rsidRPr="002B2371">
              <w:rPr>
                <w:rFonts w:ascii="Calibri" w:hAnsi="Calibri" w:cs="Calibri"/>
                <w:b/>
                <w:bCs/>
                <w:sz w:val="24"/>
                <w:szCs w:val="24"/>
              </w:rPr>
              <w:t>Domain 2: Person-centered care</w:t>
            </w:r>
            <w:r w:rsidRPr="0083192C">
              <w:rPr>
                <w:rFonts w:ascii="Calibri" w:hAnsi="Calibri" w:cs="Calibri"/>
                <w:sz w:val="20"/>
                <w:szCs w:val="20"/>
              </w:rPr>
              <w:t xml:space="preserve"> </w:t>
            </w:r>
            <w:r w:rsidRPr="002B2371">
              <w:rPr>
                <w:rFonts w:ascii="Calibri" w:hAnsi="Calibri" w:cs="Calibri"/>
                <w:sz w:val="20"/>
                <w:szCs w:val="20"/>
              </w:rPr>
              <w:t>focuses on the individual within multiple complicated</w:t>
            </w:r>
            <w:r>
              <w:rPr>
                <w:rFonts w:ascii="Calibri" w:hAnsi="Calibri" w:cs="Calibri"/>
                <w:sz w:val="20"/>
                <w:szCs w:val="20"/>
              </w:rPr>
              <w:t xml:space="preserve"> </w:t>
            </w:r>
            <w:r w:rsidRPr="002B2371">
              <w:rPr>
                <w:rFonts w:ascii="Calibri" w:hAnsi="Calibri" w:cs="Calibri"/>
                <w:sz w:val="20"/>
                <w:szCs w:val="20"/>
              </w:rPr>
              <w:t>contexts, including family and/or important others. Person-centered care is holistic, individualized, just, respectful, compassionate, coordinated, evidence-based, and</w:t>
            </w:r>
          </w:p>
          <w:p w14:paraId="58CC11FB" w14:textId="741AA6BD" w:rsidR="002B2371" w:rsidRPr="002B2371" w:rsidRDefault="002B2371" w:rsidP="002B2371">
            <w:pPr>
              <w:autoSpaceDE w:val="0"/>
              <w:autoSpaceDN w:val="0"/>
              <w:adjustRightInd w:val="0"/>
              <w:rPr>
                <w:rFonts w:ascii="Calibri" w:hAnsi="Calibri" w:cs="Calibri"/>
                <w:sz w:val="20"/>
                <w:szCs w:val="20"/>
              </w:rPr>
            </w:pPr>
            <w:r w:rsidRPr="002B2371">
              <w:rPr>
                <w:rFonts w:ascii="Calibri" w:hAnsi="Calibri" w:cs="Calibri"/>
                <w:sz w:val="20"/>
                <w:szCs w:val="20"/>
              </w:rPr>
              <w:t>developmentally appropriate.</w:t>
            </w:r>
            <w:r w:rsidRPr="002B2371">
              <w:rPr>
                <w:rFonts w:ascii="Calibri" w:hAnsi="Calibri" w:cs="Calibri"/>
                <w:sz w:val="24"/>
                <w:szCs w:val="24"/>
              </w:rPr>
              <w:t xml:space="preserve"> </w:t>
            </w:r>
            <w:r w:rsidRPr="002B2371">
              <w:rPr>
                <w:rFonts w:ascii="Calibri" w:hAnsi="Calibri" w:cs="Calibri"/>
                <w:sz w:val="20"/>
                <w:szCs w:val="20"/>
              </w:rPr>
              <w:t>Person-centered care builds on a scientific body of knowledge</w:t>
            </w:r>
            <w:r>
              <w:rPr>
                <w:rFonts w:ascii="Calibri" w:hAnsi="Calibri" w:cs="Calibri"/>
                <w:sz w:val="20"/>
                <w:szCs w:val="20"/>
              </w:rPr>
              <w:t xml:space="preserve"> </w:t>
            </w:r>
            <w:r w:rsidRPr="002B2371">
              <w:rPr>
                <w:rFonts w:ascii="Calibri" w:hAnsi="Calibri" w:cs="Calibri"/>
                <w:sz w:val="20"/>
                <w:szCs w:val="20"/>
              </w:rPr>
              <w:t>that guides nursing practice regardless of specialty or functional area. (From AACN Essentials Domain 2, p. 29).</w:t>
            </w:r>
          </w:p>
          <w:p w14:paraId="112E40F3" w14:textId="77777777" w:rsidR="002105D6" w:rsidRPr="00BA7ABC" w:rsidRDefault="002105D6" w:rsidP="00ED05BC">
            <w:pPr>
              <w:rPr>
                <w:rFonts w:ascii="Calibri" w:hAnsi="Calibri" w:cs="Calibri"/>
                <w:sz w:val="20"/>
                <w:szCs w:val="20"/>
              </w:rPr>
            </w:pPr>
          </w:p>
          <w:p w14:paraId="3650A6AC" w14:textId="367E5E81" w:rsidR="002105D6" w:rsidRPr="00BA7ABC" w:rsidRDefault="002105D6" w:rsidP="00ED05BC">
            <w:pPr>
              <w:rPr>
                <w:sz w:val="20"/>
                <w:szCs w:val="20"/>
              </w:rPr>
            </w:pPr>
            <w:r w:rsidRPr="00BA7ABC">
              <w:rPr>
                <w:rFonts w:ascii="Calibri" w:hAnsi="Calibri" w:cs="Calibri"/>
                <w:sz w:val="20"/>
                <w:szCs w:val="20"/>
              </w:rPr>
              <w:t>See AACN Essentials Document for further information and specific listing of skills and competencies.</w:t>
            </w:r>
          </w:p>
        </w:tc>
        <w:tc>
          <w:tcPr>
            <w:tcW w:w="3277" w:type="dxa"/>
          </w:tcPr>
          <w:p w14:paraId="42CA7388" w14:textId="52FC62D4" w:rsidR="0008335E" w:rsidRDefault="0008335E" w:rsidP="00ED05BC">
            <w:r>
              <w:t>In FONR, the phrases “Person-Centered” or “Person-Centered Care” occurs 31 times in a variety of contexts</w:t>
            </w:r>
            <w:r w:rsidR="00C81A35">
              <w:t>. Here are a few examples</w:t>
            </w:r>
            <w:r>
              <w:t>:</w:t>
            </w:r>
          </w:p>
          <w:p w14:paraId="562AACA8" w14:textId="3768315D" w:rsidR="00C81A35" w:rsidRDefault="00C81A35" w:rsidP="0008335E">
            <w:pPr>
              <w:pStyle w:val="ListParagraph"/>
              <w:numPr>
                <w:ilvl w:val="0"/>
                <w:numId w:val="3"/>
              </w:numPr>
            </w:pPr>
            <w:r>
              <w:t>P. 2 Box S-1, Bullet 8</w:t>
            </w:r>
          </w:p>
          <w:p w14:paraId="333A882A" w14:textId="131011F0" w:rsidR="00C81A35" w:rsidRDefault="00C81A35" w:rsidP="0008335E">
            <w:pPr>
              <w:pStyle w:val="ListParagraph"/>
              <w:numPr>
                <w:ilvl w:val="0"/>
                <w:numId w:val="3"/>
              </w:numPr>
            </w:pPr>
            <w:r>
              <w:t>P. 9 under “Social Determinants of Health”</w:t>
            </w:r>
          </w:p>
          <w:p w14:paraId="6A8CE765" w14:textId="46FCAC87" w:rsidR="00C81A35" w:rsidRDefault="00C81A35" w:rsidP="0008335E">
            <w:pPr>
              <w:pStyle w:val="ListParagraph"/>
              <w:numPr>
                <w:ilvl w:val="0"/>
                <w:numId w:val="3"/>
              </w:numPr>
            </w:pPr>
            <w:r>
              <w:t>P. 101, under “Nurse’s Role in expanding Access to Quality health Care”</w:t>
            </w:r>
          </w:p>
          <w:p w14:paraId="66739F1E" w14:textId="3B067870" w:rsidR="00C81A35" w:rsidRDefault="00C81A35" w:rsidP="0008335E">
            <w:pPr>
              <w:pStyle w:val="ListParagraph"/>
              <w:numPr>
                <w:ilvl w:val="0"/>
                <w:numId w:val="3"/>
              </w:numPr>
            </w:pPr>
            <w:r>
              <w:t>P. 112, under “Person-Centered Care”</w:t>
            </w:r>
          </w:p>
          <w:p w14:paraId="7A0B550A" w14:textId="0AB4D3B6" w:rsidR="002105D6" w:rsidRDefault="0008335E" w:rsidP="0008335E">
            <w:pPr>
              <w:pStyle w:val="ListParagraph"/>
              <w:numPr>
                <w:ilvl w:val="0"/>
                <w:numId w:val="3"/>
              </w:numPr>
            </w:pPr>
            <w:r>
              <w:t>p. 203, Box 7-3.</w:t>
            </w:r>
          </w:p>
          <w:p w14:paraId="296BEC76" w14:textId="47B0967D" w:rsidR="0008335E" w:rsidRDefault="0008335E" w:rsidP="0008335E">
            <w:pPr>
              <w:pStyle w:val="ListParagraph"/>
              <w:numPr>
                <w:ilvl w:val="0"/>
                <w:numId w:val="3"/>
              </w:numPr>
            </w:pPr>
            <w:r>
              <w:t>P. 205, bottom paragraph</w:t>
            </w:r>
          </w:p>
          <w:p w14:paraId="5C8A27A1" w14:textId="04482F2C" w:rsidR="0008335E" w:rsidRDefault="0008335E" w:rsidP="0008335E">
            <w:pPr>
              <w:pStyle w:val="ListParagraph"/>
              <w:numPr>
                <w:ilvl w:val="0"/>
                <w:numId w:val="3"/>
              </w:numPr>
              <w:rPr>
                <w:rFonts w:cstheme="minorHAnsi"/>
                <w:sz w:val="20"/>
                <w:szCs w:val="20"/>
              </w:rPr>
            </w:pPr>
            <w:r>
              <w:t xml:space="preserve">P. 206 </w:t>
            </w:r>
            <w:r w:rsidRPr="0008335E">
              <w:rPr>
                <w:rFonts w:cstheme="minorHAnsi"/>
                <w:sz w:val="20"/>
                <w:szCs w:val="20"/>
              </w:rPr>
              <w:t>“Delivering Person-Centered Care and Education to Diverse Populations”</w:t>
            </w:r>
          </w:p>
          <w:p w14:paraId="60466B7F" w14:textId="604CE8F8" w:rsidR="0008335E" w:rsidRPr="0008335E" w:rsidRDefault="0008335E" w:rsidP="0008335E">
            <w:pPr>
              <w:pStyle w:val="ListParagraph"/>
              <w:numPr>
                <w:ilvl w:val="0"/>
                <w:numId w:val="3"/>
              </w:numPr>
              <w:rPr>
                <w:rFonts w:cstheme="minorHAnsi"/>
                <w:sz w:val="20"/>
                <w:szCs w:val="20"/>
              </w:rPr>
            </w:pPr>
            <w:r>
              <w:t>P. 357, 4</w:t>
            </w:r>
            <w:r w:rsidRPr="0008335E">
              <w:rPr>
                <w:vertAlign w:val="superscript"/>
              </w:rPr>
              <w:t>th</w:t>
            </w:r>
            <w:r>
              <w:t xml:space="preserve"> bullet in box</w:t>
            </w:r>
          </w:p>
          <w:p w14:paraId="019269C2" w14:textId="0AD0E383" w:rsidR="0008335E" w:rsidRDefault="0008335E" w:rsidP="0008335E">
            <w:pPr>
              <w:pStyle w:val="ListParagraph"/>
              <w:numPr>
                <w:ilvl w:val="0"/>
                <w:numId w:val="3"/>
              </w:numPr>
              <w:rPr>
                <w:rFonts w:cstheme="minorHAnsi"/>
                <w:sz w:val="20"/>
                <w:szCs w:val="20"/>
              </w:rPr>
            </w:pPr>
            <w:r>
              <w:rPr>
                <w:rFonts w:cstheme="minorHAnsi"/>
                <w:sz w:val="20"/>
                <w:szCs w:val="20"/>
              </w:rPr>
              <w:t xml:space="preserve">P. 419, </w:t>
            </w:r>
            <w:r w:rsidR="00C81A35">
              <w:rPr>
                <w:rFonts w:cstheme="minorHAnsi"/>
                <w:sz w:val="20"/>
                <w:szCs w:val="20"/>
              </w:rPr>
              <w:t>u</w:t>
            </w:r>
            <w:r>
              <w:rPr>
                <w:rFonts w:cstheme="minorHAnsi"/>
                <w:sz w:val="20"/>
                <w:szCs w:val="20"/>
              </w:rPr>
              <w:t xml:space="preserve">nder </w:t>
            </w:r>
            <w:r w:rsidR="00C81A35">
              <w:rPr>
                <w:rFonts w:cstheme="minorHAnsi"/>
                <w:sz w:val="20"/>
                <w:szCs w:val="20"/>
              </w:rPr>
              <w:t>“</w:t>
            </w:r>
            <w:r>
              <w:rPr>
                <w:rFonts w:cstheme="minorHAnsi"/>
                <w:sz w:val="20"/>
                <w:szCs w:val="20"/>
              </w:rPr>
              <w:t>Social Needs”</w:t>
            </w:r>
          </w:p>
          <w:p w14:paraId="327DD9B0" w14:textId="77777777" w:rsidR="0008335E" w:rsidRPr="004C15C3" w:rsidRDefault="0008335E" w:rsidP="004C15C3">
            <w:pPr>
              <w:rPr>
                <w:rFonts w:cstheme="minorHAnsi"/>
                <w:sz w:val="20"/>
                <w:szCs w:val="20"/>
              </w:rPr>
            </w:pPr>
          </w:p>
          <w:p w14:paraId="4F16E51B" w14:textId="7876A0FF" w:rsidR="0008335E" w:rsidRDefault="0008335E" w:rsidP="00ED05BC"/>
        </w:tc>
        <w:tc>
          <w:tcPr>
            <w:tcW w:w="3414" w:type="dxa"/>
          </w:tcPr>
          <w:p w14:paraId="07118E6C" w14:textId="0EBC34D6" w:rsidR="003574FB" w:rsidRDefault="003574FB" w:rsidP="003574FB">
            <w:pPr>
              <w:rPr>
                <w:rFonts w:cstheme="minorHAnsi"/>
                <w:color w:val="0D1941"/>
                <w:sz w:val="20"/>
                <w:szCs w:val="20"/>
              </w:rPr>
            </w:pPr>
            <w:r>
              <w:rPr>
                <w:rFonts w:cstheme="minorHAnsi"/>
                <w:color w:val="0D1941"/>
                <w:sz w:val="20"/>
                <w:szCs w:val="20"/>
              </w:rPr>
              <w:t xml:space="preserve">See “Older Adults Workgroup” on </w:t>
            </w:r>
            <w:r w:rsidRPr="00383902">
              <w:rPr>
                <w:sz w:val="20"/>
                <w:szCs w:val="20"/>
              </w:rPr>
              <w:t>Healthy People 2030 (HP) Website</w:t>
            </w:r>
            <w:r>
              <w:rPr>
                <w:sz w:val="20"/>
                <w:szCs w:val="20"/>
              </w:rPr>
              <w:t xml:space="preserve">: </w:t>
            </w:r>
            <w:r w:rsidRPr="00383902">
              <w:rPr>
                <w:sz w:val="20"/>
                <w:szCs w:val="20"/>
              </w:rPr>
              <w:t>(</w:t>
            </w:r>
            <w:hyperlink r:id="rId11" w:history="1">
              <w:r w:rsidRPr="00383902">
                <w:rPr>
                  <w:rStyle w:val="Hyperlink"/>
                  <w:sz w:val="20"/>
                  <w:szCs w:val="20"/>
                </w:rPr>
                <w:t>https://health.gov/healthypeople</w:t>
              </w:r>
            </w:hyperlink>
            <w:r>
              <w:rPr>
                <w:rFonts w:cstheme="minorHAnsi"/>
                <w:color w:val="0D1941"/>
                <w:sz w:val="20"/>
                <w:szCs w:val="20"/>
              </w:rPr>
              <w:t xml:space="preserve">  </w:t>
            </w:r>
          </w:p>
          <w:p w14:paraId="47917FD4" w14:textId="67929B48" w:rsidR="003574FB" w:rsidRDefault="003574FB" w:rsidP="003574FB">
            <w:pPr>
              <w:rPr>
                <w:rFonts w:cstheme="minorHAnsi"/>
                <w:color w:val="0D1941"/>
                <w:sz w:val="20"/>
                <w:szCs w:val="20"/>
              </w:rPr>
            </w:pPr>
            <w:r>
              <w:rPr>
                <w:rFonts w:cstheme="minorHAnsi"/>
                <w:color w:val="0D1941"/>
                <w:sz w:val="20"/>
                <w:szCs w:val="20"/>
              </w:rPr>
              <w:t>in “</w:t>
            </w:r>
            <w:r>
              <w:rPr>
                <w:rFonts w:cstheme="minorHAnsi"/>
                <w:b/>
                <w:bCs/>
                <w:color w:val="0D1941"/>
                <w:sz w:val="20"/>
                <w:szCs w:val="20"/>
              </w:rPr>
              <w:t>Emerging Issues in Older Adults”</w:t>
            </w:r>
            <w:r>
              <w:rPr>
                <w:rFonts w:cstheme="minorHAnsi"/>
                <w:color w:val="0D1941"/>
                <w:sz w:val="20"/>
                <w:szCs w:val="20"/>
              </w:rPr>
              <w:t xml:space="preserve"> </w:t>
            </w:r>
          </w:p>
          <w:p w14:paraId="3C6027BB" w14:textId="27E49414" w:rsidR="002105D6" w:rsidRDefault="002105D6" w:rsidP="00ED05BC"/>
        </w:tc>
      </w:tr>
      <w:tr w:rsidR="00BC711C" w14:paraId="4E58218B" w14:textId="77777777" w:rsidTr="00BC711C">
        <w:tc>
          <w:tcPr>
            <w:tcW w:w="3036" w:type="dxa"/>
          </w:tcPr>
          <w:p w14:paraId="088F3249" w14:textId="2B3EBA97" w:rsidR="002B2371" w:rsidRPr="000D3AFC" w:rsidRDefault="002B2371" w:rsidP="00046C9B">
            <w:pPr>
              <w:autoSpaceDE w:val="0"/>
              <w:autoSpaceDN w:val="0"/>
              <w:adjustRightInd w:val="0"/>
              <w:rPr>
                <w:rFonts w:ascii="Calibri" w:hAnsi="Calibri" w:cs="Calibri"/>
                <w:b/>
                <w:bCs/>
                <w:sz w:val="24"/>
                <w:szCs w:val="24"/>
              </w:rPr>
            </w:pPr>
            <w:r w:rsidRPr="000D3AFC">
              <w:rPr>
                <w:rFonts w:ascii="Calibri" w:hAnsi="Calibri" w:cs="Calibri"/>
                <w:b/>
                <w:bCs/>
                <w:sz w:val="24"/>
                <w:szCs w:val="24"/>
              </w:rPr>
              <w:t>Population Health</w:t>
            </w:r>
          </w:p>
        </w:tc>
        <w:tc>
          <w:tcPr>
            <w:tcW w:w="3588" w:type="dxa"/>
          </w:tcPr>
          <w:p w14:paraId="6583CF29" w14:textId="3827EA10" w:rsidR="002B2371" w:rsidRPr="004E7D92" w:rsidRDefault="002B2371" w:rsidP="00046C9B">
            <w:pPr>
              <w:autoSpaceDE w:val="0"/>
              <w:autoSpaceDN w:val="0"/>
              <w:adjustRightInd w:val="0"/>
              <w:rPr>
                <w:rFonts w:ascii="Calibri" w:hAnsi="Calibri" w:cs="Calibri"/>
                <w:sz w:val="20"/>
                <w:szCs w:val="20"/>
              </w:rPr>
            </w:pPr>
            <w:r w:rsidRPr="004E7D92">
              <w:rPr>
                <w:rFonts w:ascii="Calibri" w:hAnsi="Calibri" w:cs="Calibri"/>
                <w:b/>
                <w:bCs/>
                <w:sz w:val="24"/>
                <w:szCs w:val="24"/>
              </w:rPr>
              <w:t>Domain 3: Population Health</w:t>
            </w:r>
            <w:r w:rsidRPr="004E7D92">
              <w:rPr>
                <w:rFonts w:ascii="Calibri" w:hAnsi="Calibri" w:cs="Calibri"/>
                <w:sz w:val="20"/>
                <w:szCs w:val="20"/>
              </w:rPr>
              <w:t xml:space="preserve"> spans the healthcare delivery continuum from public health prevention to disease management of populations and describes collaborative activities with both traditional and non-traditional partnerships from affected communities, public health, industry, academia, health care, local government entities, and others for the improvement of equitable population health outcomes (From AACN Essentials Domain 3, p. p. 33).</w:t>
            </w:r>
          </w:p>
          <w:p w14:paraId="6E4B4AB7" w14:textId="77777777" w:rsidR="002B2371" w:rsidRPr="004E7D92" w:rsidRDefault="002B2371" w:rsidP="00046C9B">
            <w:pPr>
              <w:autoSpaceDE w:val="0"/>
              <w:autoSpaceDN w:val="0"/>
              <w:adjustRightInd w:val="0"/>
              <w:rPr>
                <w:rFonts w:ascii="Calibri" w:hAnsi="Calibri" w:cs="Calibri"/>
                <w:sz w:val="20"/>
                <w:szCs w:val="20"/>
              </w:rPr>
            </w:pPr>
          </w:p>
          <w:p w14:paraId="681FEA1A" w14:textId="77777777" w:rsidR="002105D6" w:rsidRPr="00046C9B" w:rsidRDefault="002105D6" w:rsidP="00ED05BC">
            <w:pPr>
              <w:autoSpaceDE w:val="0"/>
              <w:autoSpaceDN w:val="0"/>
              <w:adjustRightInd w:val="0"/>
              <w:rPr>
                <w:rFonts w:ascii="Calibri" w:hAnsi="Calibri" w:cs="Calibri"/>
                <w:sz w:val="20"/>
                <w:szCs w:val="20"/>
              </w:rPr>
            </w:pPr>
          </w:p>
          <w:p w14:paraId="7888CB12" w14:textId="2B64D97D" w:rsidR="002105D6" w:rsidRPr="00046C9B" w:rsidRDefault="002105D6" w:rsidP="00ED05BC">
            <w:pPr>
              <w:autoSpaceDE w:val="0"/>
              <w:autoSpaceDN w:val="0"/>
              <w:adjustRightInd w:val="0"/>
              <w:rPr>
                <w:rFonts w:ascii="Calibri" w:hAnsi="Calibri" w:cs="Calibri"/>
                <w:sz w:val="20"/>
                <w:szCs w:val="20"/>
              </w:rPr>
            </w:pPr>
            <w:r w:rsidRPr="00046C9B">
              <w:rPr>
                <w:rFonts w:ascii="Calibri" w:hAnsi="Calibri" w:cs="Calibri"/>
                <w:sz w:val="20"/>
                <w:szCs w:val="20"/>
              </w:rPr>
              <w:t>See AACN Essentials Document for further information and specific listing of skills and competencies.</w:t>
            </w:r>
          </w:p>
        </w:tc>
        <w:tc>
          <w:tcPr>
            <w:tcW w:w="3277" w:type="dxa"/>
          </w:tcPr>
          <w:p w14:paraId="589DFA5E" w14:textId="4F7F9835" w:rsidR="00960E82" w:rsidRPr="00383902" w:rsidRDefault="00960E82" w:rsidP="00960E82">
            <w:pPr>
              <w:rPr>
                <w:sz w:val="20"/>
                <w:szCs w:val="20"/>
              </w:rPr>
            </w:pPr>
            <w:r>
              <w:rPr>
                <w:sz w:val="20"/>
                <w:szCs w:val="20"/>
              </w:rPr>
              <w:lastRenderedPageBreak/>
              <w:t>In FONR, See pg. 189, “Educating Nurses for the Future.”</w:t>
            </w:r>
          </w:p>
          <w:p w14:paraId="32E3665A" w14:textId="473089A8" w:rsidR="002105D6" w:rsidRDefault="002105D6" w:rsidP="00ED05BC"/>
        </w:tc>
        <w:tc>
          <w:tcPr>
            <w:tcW w:w="3414" w:type="dxa"/>
          </w:tcPr>
          <w:p w14:paraId="0230FD86" w14:textId="52CBF421" w:rsidR="00EC5FCA" w:rsidRPr="000E50D2" w:rsidRDefault="00EC5FCA" w:rsidP="00EC5FCA">
            <w:pPr>
              <w:rPr>
                <w:rStyle w:val="Strong"/>
                <w:rFonts w:ascii="Arial" w:hAnsi="Arial" w:cs="Arial"/>
                <w:color w:val="0D1941"/>
                <w:sz w:val="27"/>
                <w:szCs w:val="27"/>
              </w:rPr>
            </w:pPr>
            <w:r>
              <w:rPr>
                <w:rFonts w:cstheme="minorHAnsi"/>
                <w:color w:val="0D1941"/>
                <w:sz w:val="20"/>
                <w:szCs w:val="20"/>
              </w:rPr>
              <w:t xml:space="preserve">HP 2030 Website: </w:t>
            </w:r>
            <w:r w:rsidRPr="00383902">
              <w:rPr>
                <w:sz w:val="20"/>
                <w:szCs w:val="20"/>
              </w:rPr>
              <w:t>(</w:t>
            </w:r>
            <w:hyperlink r:id="rId12" w:history="1">
              <w:r w:rsidRPr="00383902">
                <w:rPr>
                  <w:rStyle w:val="Hyperlink"/>
                  <w:sz w:val="20"/>
                  <w:szCs w:val="20"/>
                </w:rPr>
                <w:t>https://health.gov/healthypeople</w:t>
              </w:r>
            </w:hyperlink>
            <w:r>
              <w:rPr>
                <w:sz w:val="20"/>
                <w:szCs w:val="20"/>
              </w:rPr>
              <w:t>) See</w:t>
            </w:r>
            <w:r>
              <w:rPr>
                <w:rFonts w:cstheme="minorHAnsi"/>
                <w:color w:val="0D1941"/>
                <w:sz w:val="20"/>
                <w:szCs w:val="20"/>
              </w:rPr>
              <w:t xml:space="preserve"> Developmental Objective </w:t>
            </w:r>
            <w:r w:rsidRPr="000E50D2">
              <w:rPr>
                <w:rFonts w:cstheme="minorHAnsi"/>
                <w:color w:val="0D1941"/>
                <w:sz w:val="20"/>
                <w:szCs w:val="20"/>
              </w:rPr>
              <w:t xml:space="preserve">“Increase the inclusion of core clinical prevention and population health content in undergraduate nursing and graduate nurse practitioner training programs” </w:t>
            </w:r>
          </w:p>
          <w:p w14:paraId="765D4198" w14:textId="44B03DD6" w:rsidR="00EC5FCA" w:rsidRDefault="00EC5FCA" w:rsidP="00EC5FCA">
            <w:pPr>
              <w:pStyle w:val="NormalWeb"/>
              <w:rPr>
                <w:rFonts w:ascii="Arial" w:hAnsi="Arial" w:cs="Arial"/>
                <w:color w:val="0D1941"/>
                <w:sz w:val="27"/>
                <w:szCs w:val="27"/>
              </w:rPr>
            </w:pPr>
          </w:p>
          <w:p w14:paraId="58DA6B6D" w14:textId="77777777" w:rsidR="002105D6" w:rsidRDefault="002105D6" w:rsidP="00ED05BC"/>
        </w:tc>
      </w:tr>
      <w:tr w:rsidR="00BC711C" w14:paraId="6D7837D5" w14:textId="77777777" w:rsidTr="00BC711C">
        <w:tc>
          <w:tcPr>
            <w:tcW w:w="3036" w:type="dxa"/>
          </w:tcPr>
          <w:p w14:paraId="260BAF62" w14:textId="1C53A0F0" w:rsidR="002105D6" w:rsidRPr="000D3AFC" w:rsidRDefault="002B2371" w:rsidP="00ED05BC">
            <w:pPr>
              <w:rPr>
                <w:b/>
                <w:bCs/>
                <w:sz w:val="24"/>
                <w:szCs w:val="24"/>
              </w:rPr>
            </w:pPr>
            <w:r w:rsidRPr="000D3AFC">
              <w:rPr>
                <w:rFonts w:ascii="Calibri" w:hAnsi="Calibri" w:cs="Calibri"/>
                <w:b/>
                <w:bCs/>
                <w:sz w:val="24"/>
                <w:szCs w:val="24"/>
              </w:rPr>
              <w:t>Scholarship for the Nursing Profession</w:t>
            </w:r>
          </w:p>
        </w:tc>
        <w:tc>
          <w:tcPr>
            <w:tcW w:w="3588" w:type="dxa"/>
          </w:tcPr>
          <w:p w14:paraId="06EB6E9D" w14:textId="06FF37D4" w:rsidR="002B2371" w:rsidRPr="00BD76C3" w:rsidRDefault="002B2371" w:rsidP="002B2371">
            <w:pPr>
              <w:rPr>
                <w:rFonts w:ascii="Calibri" w:hAnsi="Calibri" w:cs="Calibri"/>
                <w:i/>
                <w:iCs/>
                <w:sz w:val="20"/>
                <w:szCs w:val="20"/>
              </w:rPr>
            </w:pPr>
            <w:r w:rsidRPr="002B2371">
              <w:rPr>
                <w:rFonts w:ascii="Calibri" w:hAnsi="Calibri" w:cs="Calibri"/>
                <w:b/>
                <w:bCs/>
                <w:sz w:val="24"/>
                <w:szCs w:val="24"/>
              </w:rPr>
              <w:t>Domain 4: Scholarship for the Nursing Discipline</w:t>
            </w:r>
            <w:r>
              <w:rPr>
                <w:rFonts w:ascii="Calibri" w:hAnsi="Calibri" w:cs="Calibri"/>
                <w:b/>
                <w:bCs/>
                <w:sz w:val="20"/>
                <w:szCs w:val="20"/>
              </w:rPr>
              <w:t xml:space="preserve"> </w:t>
            </w:r>
            <w:r w:rsidRPr="002B2371">
              <w:rPr>
                <w:rFonts w:ascii="Calibri" w:hAnsi="Calibri" w:cs="Calibri"/>
                <w:sz w:val="20"/>
                <w:szCs w:val="20"/>
              </w:rPr>
              <w:t>involves the generation, synthesis, translation, application, and dissemination of nursing knowledge to improve health and transform health care.</w:t>
            </w:r>
          </w:p>
          <w:p w14:paraId="689976D8" w14:textId="5B75BC59" w:rsidR="002B2371" w:rsidRDefault="002B2371" w:rsidP="002B2371">
            <w:pPr>
              <w:autoSpaceDE w:val="0"/>
              <w:autoSpaceDN w:val="0"/>
              <w:adjustRightInd w:val="0"/>
              <w:rPr>
                <w:rFonts w:ascii="Calibri" w:hAnsi="Calibri" w:cs="Calibri"/>
                <w:sz w:val="20"/>
                <w:szCs w:val="20"/>
              </w:rPr>
            </w:pPr>
            <w:r w:rsidRPr="0083192C">
              <w:rPr>
                <w:rFonts w:ascii="Calibri" w:hAnsi="Calibri" w:cs="Calibri"/>
                <w:sz w:val="20"/>
                <w:szCs w:val="20"/>
              </w:rPr>
              <w:t>(AACN Essentials Domain 4, p. 37).</w:t>
            </w:r>
          </w:p>
          <w:p w14:paraId="19EA367C" w14:textId="2183FB5A" w:rsidR="002105D6" w:rsidRDefault="002105D6" w:rsidP="00ED05BC">
            <w:pPr>
              <w:autoSpaceDE w:val="0"/>
              <w:autoSpaceDN w:val="0"/>
              <w:adjustRightInd w:val="0"/>
              <w:rPr>
                <w:rFonts w:ascii="Calibri" w:hAnsi="Calibri" w:cs="Calibri"/>
                <w:sz w:val="20"/>
                <w:szCs w:val="20"/>
              </w:rPr>
            </w:pPr>
          </w:p>
          <w:p w14:paraId="5F4E63D1" w14:textId="1C568B8D" w:rsidR="00CD5C74" w:rsidRDefault="00CD5C74" w:rsidP="00ED05BC">
            <w:pPr>
              <w:autoSpaceDE w:val="0"/>
              <w:autoSpaceDN w:val="0"/>
              <w:adjustRightInd w:val="0"/>
              <w:rPr>
                <w:rFonts w:ascii="Calibri" w:hAnsi="Calibri" w:cs="Calibri"/>
                <w:sz w:val="20"/>
                <w:szCs w:val="20"/>
              </w:rPr>
            </w:pPr>
            <w:r>
              <w:rPr>
                <w:rFonts w:ascii="Calibri" w:hAnsi="Calibri" w:cs="Calibri"/>
                <w:sz w:val="20"/>
                <w:szCs w:val="20"/>
              </w:rPr>
              <w:t>(*The AACN Essentials do not specify suggested research areas to focus upon</w:t>
            </w:r>
            <w:r w:rsidR="00C727C3">
              <w:rPr>
                <w:rFonts w:ascii="Calibri" w:hAnsi="Calibri" w:cs="Calibri"/>
                <w:sz w:val="20"/>
                <w:szCs w:val="20"/>
              </w:rPr>
              <w:t>, however research and scholarly activity occupies an entire domain and compliments the focused areas of research that are proposed in FONR and HP 2030.”</w:t>
            </w:r>
          </w:p>
          <w:p w14:paraId="044839EA" w14:textId="77777777" w:rsidR="00C727C3" w:rsidRPr="001D6BFA" w:rsidRDefault="00C727C3" w:rsidP="00ED05BC">
            <w:pPr>
              <w:autoSpaceDE w:val="0"/>
              <w:autoSpaceDN w:val="0"/>
              <w:adjustRightInd w:val="0"/>
              <w:rPr>
                <w:rFonts w:ascii="Calibri" w:hAnsi="Calibri" w:cs="Calibri"/>
                <w:sz w:val="20"/>
                <w:szCs w:val="20"/>
              </w:rPr>
            </w:pPr>
          </w:p>
          <w:p w14:paraId="29540CEF" w14:textId="4938EC5E" w:rsidR="002105D6" w:rsidRPr="001D6BFA" w:rsidRDefault="002105D6" w:rsidP="00ED05BC">
            <w:pPr>
              <w:autoSpaceDE w:val="0"/>
              <w:autoSpaceDN w:val="0"/>
              <w:adjustRightInd w:val="0"/>
              <w:rPr>
                <w:rFonts w:ascii="Calibri" w:hAnsi="Calibri" w:cs="Calibri"/>
                <w:sz w:val="20"/>
                <w:szCs w:val="20"/>
              </w:rPr>
            </w:pPr>
            <w:r w:rsidRPr="001D6BFA">
              <w:rPr>
                <w:rFonts w:ascii="Calibri" w:hAnsi="Calibri" w:cs="Calibri"/>
                <w:sz w:val="20"/>
                <w:szCs w:val="20"/>
              </w:rPr>
              <w:t>See AACN Essentials Document for further information and specific listing of skills and competencies.</w:t>
            </w:r>
          </w:p>
        </w:tc>
        <w:tc>
          <w:tcPr>
            <w:tcW w:w="3277" w:type="dxa"/>
          </w:tcPr>
          <w:p w14:paraId="185E3BD0" w14:textId="77777777" w:rsidR="002105D6" w:rsidRDefault="00E87C44" w:rsidP="00ED05BC">
            <w:pPr>
              <w:rPr>
                <w:sz w:val="20"/>
                <w:szCs w:val="20"/>
              </w:rPr>
            </w:pPr>
            <w:r w:rsidRPr="00894B48">
              <w:rPr>
                <w:sz w:val="20"/>
                <w:szCs w:val="20"/>
              </w:rPr>
              <w:t>FONR, “The Future of Nursing: Recommendations and Research Priorities</w:t>
            </w:r>
            <w:r w:rsidR="00894B48" w:rsidRPr="00894B48">
              <w:rPr>
                <w:sz w:val="20"/>
                <w:szCs w:val="20"/>
              </w:rPr>
              <w:t>” p. 355</w:t>
            </w:r>
          </w:p>
          <w:p w14:paraId="383029F3" w14:textId="77777777" w:rsidR="00894B48" w:rsidRDefault="00894B48" w:rsidP="00ED05BC">
            <w:pPr>
              <w:rPr>
                <w:sz w:val="20"/>
                <w:szCs w:val="20"/>
              </w:rPr>
            </w:pPr>
          </w:p>
          <w:p w14:paraId="47FB75BB" w14:textId="77777777" w:rsidR="00894B48" w:rsidRDefault="00894B48" w:rsidP="00ED05BC">
            <w:pPr>
              <w:rPr>
                <w:sz w:val="20"/>
                <w:szCs w:val="20"/>
              </w:rPr>
            </w:pPr>
            <w:r>
              <w:rPr>
                <w:sz w:val="20"/>
                <w:szCs w:val="20"/>
              </w:rPr>
              <w:t>FONR, Table 11-1, “Research Topics for the Future of Nursing,” pp. 373-375.</w:t>
            </w:r>
          </w:p>
          <w:p w14:paraId="0151A20F" w14:textId="77777777" w:rsidR="00894B48" w:rsidRDefault="00894B48" w:rsidP="00ED05BC">
            <w:pPr>
              <w:rPr>
                <w:sz w:val="20"/>
                <w:szCs w:val="20"/>
              </w:rPr>
            </w:pPr>
          </w:p>
          <w:p w14:paraId="1880E77F" w14:textId="14E070BC" w:rsidR="00894B48" w:rsidRPr="00894B48" w:rsidRDefault="00894B48" w:rsidP="00894B48">
            <w:pPr>
              <w:rPr>
                <w:sz w:val="20"/>
                <w:szCs w:val="20"/>
              </w:rPr>
            </w:pPr>
          </w:p>
        </w:tc>
        <w:tc>
          <w:tcPr>
            <w:tcW w:w="3414" w:type="dxa"/>
          </w:tcPr>
          <w:p w14:paraId="1BAA3475" w14:textId="77777777" w:rsidR="002105D6" w:rsidRDefault="00894B48" w:rsidP="00ED05BC">
            <w:pPr>
              <w:rPr>
                <w:sz w:val="20"/>
                <w:szCs w:val="20"/>
              </w:rPr>
            </w:pPr>
            <w:r>
              <w:rPr>
                <w:rFonts w:cstheme="minorHAnsi"/>
                <w:color w:val="0D1941"/>
                <w:sz w:val="20"/>
                <w:szCs w:val="20"/>
              </w:rPr>
              <w:t xml:space="preserve">HP 2030 Website: </w:t>
            </w:r>
            <w:r w:rsidRPr="00383902">
              <w:rPr>
                <w:sz w:val="20"/>
                <w:szCs w:val="20"/>
              </w:rPr>
              <w:t>(</w:t>
            </w:r>
            <w:hyperlink r:id="rId13" w:history="1">
              <w:r w:rsidRPr="00383902">
                <w:rPr>
                  <w:rStyle w:val="Hyperlink"/>
                  <w:sz w:val="20"/>
                  <w:szCs w:val="20"/>
                </w:rPr>
                <w:t>https://health.gov/healthypeople</w:t>
              </w:r>
            </w:hyperlink>
            <w:r>
              <w:rPr>
                <w:sz w:val="20"/>
                <w:szCs w:val="20"/>
              </w:rPr>
              <w:t>) See</w:t>
            </w:r>
          </w:p>
          <w:p w14:paraId="544C98AC" w14:textId="4E4325B0" w:rsidR="00894B48" w:rsidRDefault="00894B48" w:rsidP="00ED05BC">
            <w:r>
              <w:t>“Objectives and Data” tab on the homepage. Research areas (each with multiple sub-categories, many of which align with AACN Essentials and FONR areas of interest) include the following:</w:t>
            </w:r>
          </w:p>
          <w:p w14:paraId="37D17973" w14:textId="77777777" w:rsidR="00894B48" w:rsidRDefault="00894B48" w:rsidP="00894B48">
            <w:pPr>
              <w:pStyle w:val="ListParagraph"/>
              <w:numPr>
                <w:ilvl w:val="0"/>
                <w:numId w:val="4"/>
              </w:numPr>
            </w:pPr>
            <w:r>
              <w:t>Health Conditions</w:t>
            </w:r>
          </w:p>
          <w:p w14:paraId="5DCA9E68" w14:textId="77777777" w:rsidR="00894B48" w:rsidRDefault="00894B48" w:rsidP="00894B48">
            <w:pPr>
              <w:pStyle w:val="ListParagraph"/>
              <w:numPr>
                <w:ilvl w:val="0"/>
                <w:numId w:val="4"/>
              </w:numPr>
            </w:pPr>
            <w:r>
              <w:t>Health Behaviors</w:t>
            </w:r>
          </w:p>
          <w:p w14:paraId="68988164" w14:textId="77777777" w:rsidR="00894B48" w:rsidRDefault="00894B48" w:rsidP="00894B48">
            <w:pPr>
              <w:pStyle w:val="ListParagraph"/>
              <w:numPr>
                <w:ilvl w:val="0"/>
                <w:numId w:val="4"/>
              </w:numPr>
            </w:pPr>
            <w:r>
              <w:t>Populations</w:t>
            </w:r>
          </w:p>
          <w:p w14:paraId="55E82AC9" w14:textId="77777777" w:rsidR="00894B48" w:rsidRDefault="00894B48" w:rsidP="00894B48">
            <w:pPr>
              <w:pStyle w:val="ListParagraph"/>
              <w:numPr>
                <w:ilvl w:val="0"/>
                <w:numId w:val="4"/>
              </w:numPr>
            </w:pPr>
            <w:r>
              <w:t>Settings and Systems</w:t>
            </w:r>
          </w:p>
          <w:p w14:paraId="243DAF3B" w14:textId="7EEF5915" w:rsidR="00894B48" w:rsidRDefault="00894B48" w:rsidP="00894B48">
            <w:pPr>
              <w:pStyle w:val="ListParagraph"/>
              <w:numPr>
                <w:ilvl w:val="0"/>
                <w:numId w:val="4"/>
              </w:numPr>
            </w:pPr>
            <w:r>
              <w:t>Social Determinants of Health</w:t>
            </w:r>
          </w:p>
        </w:tc>
      </w:tr>
      <w:tr w:rsidR="00BC711C" w14:paraId="431B2F57" w14:textId="77777777" w:rsidTr="00BC711C">
        <w:tc>
          <w:tcPr>
            <w:tcW w:w="3036" w:type="dxa"/>
          </w:tcPr>
          <w:p w14:paraId="3802D892" w14:textId="5763D6D7" w:rsidR="002105D6" w:rsidRPr="000D3AFC" w:rsidRDefault="00741373" w:rsidP="00BD76C3">
            <w:pPr>
              <w:rPr>
                <w:rFonts w:ascii="Calibri" w:hAnsi="Calibri" w:cs="Calibri"/>
                <w:b/>
                <w:bCs/>
                <w:sz w:val="24"/>
                <w:szCs w:val="24"/>
              </w:rPr>
            </w:pPr>
            <w:r w:rsidRPr="000D3AFC">
              <w:rPr>
                <w:rFonts w:ascii="Calibri" w:hAnsi="Calibri" w:cs="Calibri"/>
                <w:b/>
                <w:bCs/>
                <w:sz w:val="24"/>
                <w:szCs w:val="24"/>
              </w:rPr>
              <w:t>Quality and Safety</w:t>
            </w:r>
          </w:p>
        </w:tc>
        <w:tc>
          <w:tcPr>
            <w:tcW w:w="3588" w:type="dxa"/>
          </w:tcPr>
          <w:p w14:paraId="3970B357" w14:textId="0F97C6ED" w:rsidR="00230698" w:rsidRPr="00230698" w:rsidRDefault="00230698" w:rsidP="00BD76C3">
            <w:pPr>
              <w:autoSpaceDE w:val="0"/>
              <w:autoSpaceDN w:val="0"/>
              <w:adjustRightInd w:val="0"/>
              <w:rPr>
                <w:rFonts w:ascii="Calibri" w:hAnsi="Calibri" w:cs="Calibri"/>
                <w:sz w:val="20"/>
                <w:szCs w:val="20"/>
              </w:rPr>
            </w:pPr>
            <w:r w:rsidRPr="004E7D92">
              <w:rPr>
                <w:rFonts w:ascii="Calibri" w:hAnsi="Calibri" w:cs="Calibri"/>
                <w:b/>
                <w:bCs/>
                <w:sz w:val="24"/>
                <w:szCs w:val="24"/>
              </w:rPr>
              <w:t>Domain 5: Quality and Safety</w:t>
            </w:r>
            <w:r w:rsidRPr="00230698">
              <w:rPr>
                <w:rFonts w:ascii="Calibri" w:hAnsi="Calibri" w:cs="Calibri"/>
                <w:b/>
                <w:bCs/>
                <w:sz w:val="20"/>
                <w:szCs w:val="20"/>
              </w:rPr>
              <w:t xml:space="preserve"> </w:t>
            </w:r>
            <w:r w:rsidRPr="00230698">
              <w:rPr>
                <w:rFonts w:ascii="Calibri" w:hAnsi="Calibri" w:cs="Calibri"/>
                <w:sz w:val="20"/>
                <w:szCs w:val="20"/>
              </w:rPr>
              <w:t>involves the employment of established and emerging principles of safety and improvement science. Quality and safety, as core values of nursing practice, enhance quality and minimize risk of harm to patients and providers through both system effectiveness and individual performance (AACN Essentials Domain 5, p. 40).</w:t>
            </w:r>
          </w:p>
          <w:p w14:paraId="754A0AE0" w14:textId="77777777" w:rsidR="002105D6" w:rsidRPr="001D6BFA" w:rsidRDefault="002105D6" w:rsidP="00ED05BC">
            <w:pPr>
              <w:autoSpaceDE w:val="0"/>
              <w:autoSpaceDN w:val="0"/>
              <w:adjustRightInd w:val="0"/>
              <w:rPr>
                <w:rFonts w:ascii="Calibri" w:hAnsi="Calibri" w:cs="Calibri"/>
                <w:sz w:val="20"/>
                <w:szCs w:val="20"/>
              </w:rPr>
            </w:pPr>
          </w:p>
          <w:p w14:paraId="603B2BFC" w14:textId="349029C4" w:rsidR="002105D6" w:rsidRPr="001D6BFA" w:rsidRDefault="002105D6" w:rsidP="00ED05BC">
            <w:pPr>
              <w:autoSpaceDE w:val="0"/>
              <w:autoSpaceDN w:val="0"/>
              <w:adjustRightInd w:val="0"/>
              <w:rPr>
                <w:rFonts w:ascii="Calibri" w:hAnsi="Calibri" w:cs="Calibri"/>
                <w:sz w:val="20"/>
                <w:szCs w:val="20"/>
              </w:rPr>
            </w:pPr>
            <w:r w:rsidRPr="001D6BFA">
              <w:rPr>
                <w:rFonts w:ascii="Calibri" w:hAnsi="Calibri" w:cs="Calibri"/>
                <w:sz w:val="20"/>
                <w:szCs w:val="20"/>
              </w:rPr>
              <w:lastRenderedPageBreak/>
              <w:t>See AACN Essentials Document for further information and specific listing of skills and competencies.</w:t>
            </w:r>
          </w:p>
        </w:tc>
        <w:tc>
          <w:tcPr>
            <w:tcW w:w="3277" w:type="dxa"/>
          </w:tcPr>
          <w:p w14:paraId="2D13FA63" w14:textId="22139C55" w:rsidR="00CF4F86" w:rsidRDefault="00CF4F86" w:rsidP="00ED05BC">
            <w:pPr>
              <w:rPr>
                <w:sz w:val="20"/>
                <w:szCs w:val="20"/>
              </w:rPr>
            </w:pPr>
            <w:r>
              <w:rPr>
                <w:sz w:val="20"/>
                <w:szCs w:val="20"/>
              </w:rPr>
              <w:lastRenderedPageBreak/>
              <w:t>FONR, Chapter 5, “The Role of Nurses in Improving Healthcare Access and Quality,” pp. 99-126.</w:t>
            </w:r>
          </w:p>
          <w:p w14:paraId="3AE2C898" w14:textId="77777777" w:rsidR="00CF4F86" w:rsidRDefault="00CF4F86" w:rsidP="00ED05BC">
            <w:pPr>
              <w:rPr>
                <w:sz w:val="20"/>
                <w:szCs w:val="20"/>
              </w:rPr>
            </w:pPr>
          </w:p>
          <w:p w14:paraId="119A6FEA" w14:textId="727984A6" w:rsidR="002105D6" w:rsidRDefault="00741373" w:rsidP="00ED05BC">
            <w:pPr>
              <w:rPr>
                <w:sz w:val="20"/>
                <w:szCs w:val="20"/>
              </w:rPr>
            </w:pPr>
            <w:r w:rsidRPr="00741373">
              <w:rPr>
                <w:sz w:val="20"/>
                <w:szCs w:val="20"/>
              </w:rPr>
              <w:t>FONR, “Supporting the Health and Well-Being of Nurses” p. 12.</w:t>
            </w:r>
          </w:p>
          <w:p w14:paraId="50112788" w14:textId="3D26723C" w:rsidR="00741373" w:rsidRDefault="00741373" w:rsidP="00ED05BC">
            <w:pPr>
              <w:rPr>
                <w:sz w:val="20"/>
                <w:szCs w:val="20"/>
              </w:rPr>
            </w:pPr>
          </w:p>
          <w:p w14:paraId="0CF9AD7C" w14:textId="405D8543" w:rsidR="00741373" w:rsidRPr="00741373" w:rsidRDefault="00741373" w:rsidP="00741373">
            <w:pPr>
              <w:autoSpaceDE w:val="0"/>
              <w:autoSpaceDN w:val="0"/>
              <w:adjustRightInd w:val="0"/>
              <w:rPr>
                <w:rFonts w:cstheme="minorHAnsi"/>
                <w:sz w:val="20"/>
                <w:szCs w:val="20"/>
              </w:rPr>
            </w:pPr>
            <w:r>
              <w:rPr>
                <w:rFonts w:cstheme="minorHAnsi"/>
                <w:sz w:val="20"/>
                <w:szCs w:val="20"/>
              </w:rPr>
              <w:t>“</w:t>
            </w:r>
            <w:r w:rsidRPr="00741373">
              <w:rPr>
                <w:rFonts w:cstheme="minorHAnsi"/>
                <w:sz w:val="20"/>
                <w:szCs w:val="20"/>
              </w:rPr>
              <w:t>Conclusion 10-1: All environments in which nurses work affect the</w:t>
            </w:r>
            <w:r>
              <w:rPr>
                <w:rFonts w:cstheme="minorHAnsi"/>
                <w:sz w:val="20"/>
                <w:szCs w:val="20"/>
              </w:rPr>
              <w:t xml:space="preserve"> </w:t>
            </w:r>
            <w:r w:rsidRPr="00741373">
              <w:rPr>
                <w:rFonts w:cstheme="minorHAnsi"/>
                <w:sz w:val="20"/>
                <w:szCs w:val="20"/>
              </w:rPr>
              <w:t>health and well-being of the nursing workforce. Ultimately, the health</w:t>
            </w:r>
          </w:p>
          <w:p w14:paraId="618115E8" w14:textId="77777777" w:rsidR="00741373" w:rsidRPr="00741373" w:rsidRDefault="00741373" w:rsidP="00741373">
            <w:pPr>
              <w:autoSpaceDE w:val="0"/>
              <w:autoSpaceDN w:val="0"/>
              <w:adjustRightInd w:val="0"/>
              <w:rPr>
                <w:rFonts w:cstheme="minorHAnsi"/>
                <w:sz w:val="20"/>
                <w:szCs w:val="20"/>
              </w:rPr>
            </w:pPr>
            <w:r w:rsidRPr="00741373">
              <w:rPr>
                <w:rFonts w:cstheme="minorHAnsi"/>
                <w:sz w:val="20"/>
                <w:szCs w:val="20"/>
              </w:rPr>
              <w:t>and well-being of nurses influence the quality, safety, and cost of the</w:t>
            </w:r>
          </w:p>
          <w:p w14:paraId="164FB009" w14:textId="4018210A" w:rsidR="00741373" w:rsidRPr="00741373" w:rsidRDefault="00741373" w:rsidP="00741373">
            <w:pPr>
              <w:autoSpaceDE w:val="0"/>
              <w:autoSpaceDN w:val="0"/>
              <w:adjustRightInd w:val="0"/>
              <w:rPr>
                <w:rFonts w:cstheme="minorHAnsi"/>
                <w:sz w:val="20"/>
                <w:szCs w:val="20"/>
              </w:rPr>
            </w:pPr>
            <w:r w:rsidRPr="00741373">
              <w:rPr>
                <w:rFonts w:cstheme="minorHAnsi"/>
                <w:sz w:val="20"/>
                <w:szCs w:val="20"/>
              </w:rPr>
              <w:lastRenderedPageBreak/>
              <w:t>care they provide, as well as organizations and systems of care. The</w:t>
            </w:r>
            <w:r>
              <w:rPr>
                <w:rFonts w:cstheme="minorHAnsi"/>
                <w:sz w:val="20"/>
                <w:szCs w:val="20"/>
              </w:rPr>
              <w:t xml:space="preserve"> </w:t>
            </w:r>
            <w:r w:rsidRPr="00741373">
              <w:rPr>
                <w:rFonts w:cstheme="minorHAnsi"/>
                <w:sz w:val="20"/>
                <w:szCs w:val="20"/>
              </w:rPr>
              <w:t>COVID-19 crisis has highlighted the shortcomings of historical efforts</w:t>
            </w:r>
          </w:p>
          <w:p w14:paraId="06F93BDF" w14:textId="595A4D2B" w:rsidR="00741373" w:rsidRDefault="00741373" w:rsidP="00741373">
            <w:pPr>
              <w:rPr>
                <w:rFonts w:cstheme="minorHAnsi"/>
                <w:sz w:val="20"/>
                <w:szCs w:val="20"/>
              </w:rPr>
            </w:pPr>
            <w:r w:rsidRPr="00741373">
              <w:rPr>
                <w:rFonts w:cstheme="minorHAnsi"/>
                <w:sz w:val="20"/>
                <w:szCs w:val="20"/>
              </w:rPr>
              <w:t>to address nurses’ health and well-being</w:t>
            </w:r>
            <w:r>
              <w:rPr>
                <w:rFonts w:cstheme="minorHAnsi"/>
                <w:sz w:val="20"/>
                <w:szCs w:val="20"/>
              </w:rPr>
              <w:t>” FONR p. 12.</w:t>
            </w:r>
          </w:p>
          <w:p w14:paraId="784F3F70" w14:textId="13419D35" w:rsidR="00741373" w:rsidRDefault="00741373" w:rsidP="00741373">
            <w:pPr>
              <w:rPr>
                <w:rFonts w:cstheme="minorHAnsi"/>
                <w:sz w:val="20"/>
                <w:szCs w:val="20"/>
              </w:rPr>
            </w:pPr>
          </w:p>
          <w:p w14:paraId="5738B4EC" w14:textId="766A0E02" w:rsidR="00741373" w:rsidRDefault="00741373" w:rsidP="00741373">
            <w:pPr>
              <w:rPr>
                <w:rFonts w:cstheme="minorHAnsi"/>
                <w:sz w:val="20"/>
                <w:szCs w:val="20"/>
              </w:rPr>
            </w:pPr>
            <w:r>
              <w:rPr>
                <w:rFonts w:cstheme="minorHAnsi"/>
                <w:sz w:val="20"/>
                <w:szCs w:val="20"/>
              </w:rPr>
              <w:t>FONR, “Improving the Quality of Health Care,” p. 111.</w:t>
            </w:r>
          </w:p>
          <w:p w14:paraId="5DA84CE6" w14:textId="1C9AFC3B" w:rsidR="00351B99" w:rsidRDefault="00351B99" w:rsidP="00741373">
            <w:pPr>
              <w:rPr>
                <w:rFonts w:cstheme="minorHAnsi"/>
                <w:sz w:val="20"/>
                <w:szCs w:val="20"/>
              </w:rPr>
            </w:pPr>
          </w:p>
          <w:p w14:paraId="00CB33C3" w14:textId="3415F9D7" w:rsidR="00351B99" w:rsidRDefault="00351B99" w:rsidP="00741373">
            <w:pPr>
              <w:rPr>
                <w:rFonts w:cstheme="minorHAnsi"/>
                <w:sz w:val="20"/>
                <w:szCs w:val="20"/>
              </w:rPr>
            </w:pPr>
            <w:r>
              <w:rPr>
                <w:rFonts w:cstheme="minorHAnsi"/>
                <w:sz w:val="20"/>
                <w:szCs w:val="20"/>
              </w:rPr>
              <w:t>FONR, “Educating Nurses for the Future,” p. 195, last paragraph on the page.</w:t>
            </w:r>
          </w:p>
          <w:p w14:paraId="4A1E6FA4" w14:textId="0CADCBCF" w:rsidR="00351B99" w:rsidRDefault="00351B99" w:rsidP="00741373">
            <w:pPr>
              <w:rPr>
                <w:rFonts w:cstheme="minorHAnsi"/>
                <w:sz w:val="20"/>
                <w:szCs w:val="20"/>
              </w:rPr>
            </w:pPr>
          </w:p>
          <w:p w14:paraId="027086E4" w14:textId="77777777" w:rsidR="00351B99" w:rsidRPr="00741373" w:rsidRDefault="00351B99" w:rsidP="00741373">
            <w:pPr>
              <w:rPr>
                <w:rFonts w:cstheme="minorHAnsi"/>
                <w:sz w:val="20"/>
                <w:szCs w:val="20"/>
              </w:rPr>
            </w:pPr>
          </w:p>
          <w:p w14:paraId="3D5AB877" w14:textId="77777777" w:rsidR="00741373" w:rsidRDefault="00741373" w:rsidP="00ED05BC">
            <w:pPr>
              <w:rPr>
                <w:sz w:val="20"/>
                <w:szCs w:val="20"/>
              </w:rPr>
            </w:pPr>
          </w:p>
          <w:p w14:paraId="59133F4F" w14:textId="6CC42F62" w:rsidR="00741373" w:rsidRPr="00741373" w:rsidRDefault="00741373" w:rsidP="00ED05BC">
            <w:pPr>
              <w:rPr>
                <w:sz w:val="20"/>
                <w:szCs w:val="20"/>
              </w:rPr>
            </w:pPr>
          </w:p>
        </w:tc>
        <w:tc>
          <w:tcPr>
            <w:tcW w:w="3414" w:type="dxa"/>
          </w:tcPr>
          <w:p w14:paraId="52708E98" w14:textId="3F2A66C1" w:rsidR="002105D6" w:rsidRPr="007E0ED0" w:rsidRDefault="00703490" w:rsidP="00ED05BC">
            <w:pPr>
              <w:rPr>
                <w:sz w:val="20"/>
                <w:szCs w:val="20"/>
              </w:rPr>
            </w:pPr>
            <w:r w:rsidRPr="007E0ED0">
              <w:rPr>
                <w:sz w:val="20"/>
                <w:szCs w:val="20"/>
              </w:rPr>
              <w:lastRenderedPageBreak/>
              <w:t xml:space="preserve">The HP 2030 website showed 35 results for quality and safety that included </w:t>
            </w:r>
            <w:r w:rsidR="00C96E96" w:rsidRPr="007E0ED0">
              <w:rPr>
                <w:sz w:val="20"/>
                <w:szCs w:val="20"/>
              </w:rPr>
              <w:t xml:space="preserve">(small sampling), </w:t>
            </w:r>
            <w:r w:rsidRPr="007E0ED0">
              <w:rPr>
                <w:sz w:val="20"/>
                <w:szCs w:val="20"/>
              </w:rPr>
              <w:t xml:space="preserve">hospital care, community-based chronic diseases like sickle cell disease, </w:t>
            </w:r>
            <w:r w:rsidR="00C96E96" w:rsidRPr="007E0ED0">
              <w:rPr>
                <w:sz w:val="20"/>
                <w:szCs w:val="20"/>
              </w:rPr>
              <w:t>neighborhoods and built environments in the Community Health arena, women’s health, medical product safety, sleep health, and crime/violence.</w:t>
            </w:r>
          </w:p>
        </w:tc>
      </w:tr>
      <w:tr w:rsidR="00BC711C" w14:paraId="45F06363" w14:textId="77777777" w:rsidTr="00BC711C">
        <w:tc>
          <w:tcPr>
            <w:tcW w:w="3036" w:type="dxa"/>
          </w:tcPr>
          <w:p w14:paraId="4BD1E344" w14:textId="17A1F468" w:rsidR="002105D6" w:rsidRPr="000D3AFC" w:rsidRDefault="000D3AFC" w:rsidP="001D6BFA">
            <w:pPr>
              <w:autoSpaceDE w:val="0"/>
              <w:autoSpaceDN w:val="0"/>
              <w:adjustRightInd w:val="0"/>
              <w:rPr>
                <w:rFonts w:ascii="Calibri" w:hAnsi="Calibri" w:cs="Calibri"/>
                <w:b/>
                <w:bCs/>
                <w:sz w:val="24"/>
                <w:szCs w:val="24"/>
              </w:rPr>
            </w:pPr>
            <w:r>
              <w:rPr>
                <w:rFonts w:ascii="Calibri" w:hAnsi="Calibri" w:cs="Calibri"/>
                <w:b/>
                <w:bCs/>
                <w:sz w:val="24"/>
                <w:szCs w:val="24"/>
              </w:rPr>
              <w:t>Interprofessional Partnerships</w:t>
            </w:r>
          </w:p>
        </w:tc>
        <w:tc>
          <w:tcPr>
            <w:tcW w:w="3588" w:type="dxa"/>
          </w:tcPr>
          <w:p w14:paraId="35D2607F" w14:textId="0812C642" w:rsidR="000D3AFC" w:rsidRPr="003F64B9" w:rsidRDefault="000D3AFC" w:rsidP="000D3AFC">
            <w:pPr>
              <w:autoSpaceDE w:val="0"/>
              <w:autoSpaceDN w:val="0"/>
              <w:adjustRightInd w:val="0"/>
              <w:rPr>
                <w:rFonts w:ascii="Calibri" w:hAnsi="Calibri" w:cs="Calibri"/>
                <w:sz w:val="20"/>
                <w:szCs w:val="20"/>
              </w:rPr>
            </w:pPr>
            <w:r w:rsidRPr="004E7D92">
              <w:rPr>
                <w:rFonts w:ascii="Calibri" w:hAnsi="Calibri" w:cs="Calibri"/>
                <w:b/>
                <w:bCs/>
                <w:sz w:val="24"/>
                <w:szCs w:val="24"/>
              </w:rPr>
              <w:t>Domain 6: Interprofessional Partnerships</w:t>
            </w:r>
            <w:r w:rsidRPr="003F64B9">
              <w:rPr>
                <w:rFonts w:ascii="Calibri" w:hAnsi="Calibri" w:cs="Calibri"/>
                <w:sz w:val="20"/>
                <w:szCs w:val="20"/>
              </w:rPr>
              <w:t xml:space="preserve"> are Intentional collaboration across professions and with care team members, patients,</w:t>
            </w:r>
          </w:p>
          <w:p w14:paraId="62CCB7EF" w14:textId="77777777" w:rsidR="000D3AFC" w:rsidRPr="003F64B9" w:rsidRDefault="000D3AFC" w:rsidP="000D3AFC">
            <w:pPr>
              <w:autoSpaceDE w:val="0"/>
              <w:autoSpaceDN w:val="0"/>
              <w:adjustRightInd w:val="0"/>
              <w:rPr>
                <w:rFonts w:ascii="Calibri" w:hAnsi="Calibri" w:cs="Calibri"/>
                <w:sz w:val="20"/>
                <w:szCs w:val="20"/>
              </w:rPr>
            </w:pPr>
            <w:r w:rsidRPr="003F64B9">
              <w:rPr>
                <w:rFonts w:ascii="Calibri" w:hAnsi="Calibri" w:cs="Calibri"/>
                <w:sz w:val="20"/>
                <w:szCs w:val="20"/>
              </w:rPr>
              <w:t>families, communities, and other stakeholders to optimize care, enhance the healthcare</w:t>
            </w:r>
          </w:p>
          <w:p w14:paraId="1AD45A51" w14:textId="20ED8AAF" w:rsidR="000D3AFC" w:rsidRPr="003F64B9" w:rsidRDefault="000D3AFC" w:rsidP="000D3AFC">
            <w:pPr>
              <w:autoSpaceDE w:val="0"/>
              <w:autoSpaceDN w:val="0"/>
              <w:adjustRightInd w:val="0"/>
              <w:rPr>
                <w:rFonts w:ascii="Calibri" w:hAnsi="Calibri" w:cs="Calibri"/>
                <w:sz w:val="20"/>
                <w:szCs w:val="20"/>
              </w:rPr>
            </w:pPr>
            <w:r w:rsidRPr="003F64B9">
              <w:rPr>
                <w:rFonts w:ascii="Calibri" w:hAnsi="Calibri" w:cs="Calibri"/>
                <w:sz w:val="20"/>
                <w:szCs w:val="20"/>
              </w:rPr>
              <w:t>experience, and strengthen outcomes (AACN Essentials, p. 42).</w:t>
            </w:r>
          </w:p>
          <w:p w14:paraId="35EE9E88" w14:textId="1E448BAB" w:rsidR="00032BF0" w:rsidRPr="003F64B9" w:rsidRDefault="00032BF0" w:rsidP="000D3AFC">
            <w:pPr>
              <w:autoSpaceDE w:val="0"/>
              <w:autoSpaceDN w:val="0"/>
              <w:adjustRightInd w:val="0"/>
              <w:rPr>
                <w:rFonts w:ascii="Calibri" w:hAnsi="Calibri" w:cs="Calibri"/>
                <w:sz w:val="20"/>
                <w:szCs w:val="20"/>
              </w:rPr>
            </w:pPr>
          </w:p>
          <w:p w14:paraId="46AEE4CE" w14:textId="4B20B6F3" w:rsidR="00032BF0" w:rsidRDefault="00032BF0" w:rsidP="000D3AFC">
            <w:pPr>
              <w:autoSpaceDE w:val="0"/>
              <w:autoSpaceDN w:val="0"/>
              <w:adjustRightInd w:val="0"/>
              <w:rPr>
                <w:rFonts w:ascii="Calibri" w:hAnsi="Calibri" w:cs="Calibri"/>
                <w:sz w:val="20"/>
                <w:szCs w:val="20"/>
              </w:rPr>
            </w:pPr>
            <w:r w:rsidRPr="003F64B9">
              <w:rPr>
                <w:rFonts w:ascii="Calibri" w:hAnsi="Calibri" w:cs="Calibri"/>
                <w:sz w:val="20"/>
                <w:szCs w:val="20"/>
              </w:rPr>
              <w:t>“Clinical Expectations,” AACN Essentials, p. 20.</w:t>
            </w:r>
          </w:p>
          <w:p w14:paraId="41176DE1" w14:textId="77777777" w:rsidR="003F64B9" w:rsidRPr="003F64B9" w:rsidRDefault="003F64B9" w:rsidP="000D3AFC">
            <w:pPr>
              <w:autoSpaceDE w:val="0"/>
              <w:autoSpaceDN w:val="0"/>
              <w:adjustRightInd w:val="0"/>
              <w:rPr>
                <w:rFonts w:ascii="Calibri" w:hAnsi="Calibri" w:cs="Calibri"/>
                <w:sz w:val="20"/>
                <w:szCs w:val="20"/>
              </w:rPr>
            </w:pPr>
          </w:p>
          <w:p w14:paraId="35FB389B" w14:textId="0CFB8E28" w:rsidR="00032BF0" w:rsidRPr="003F64B9" w:rsidRDefault="004E7D92" w:rsidP="00993871">
            <w:pPr>
              <w:autoSpaceDE w:val="0"/>
              <w:autoSpaceDN w:val="0"/>
              <w:adjustRightInd w:val="0"/>
              <w:jc w:val="center"/>
              <w:rPr>
                <w:rFonts w:ascii="Calibri" w:hAnsi="Calibri" w:cs="Calibri"/>
                <w:b/>
                <w:bCs/>
                <w:sz w:val="20"/>
                <w:szCs w:val="20"/>
              </w:rPr>
            </w:pPr>
            <w:r>
              <w:rPr>
                <w:rFonts w:ascii="Calibri" w:hAnsi="Calibri" w:cs="Calibri"/>
                <w:b/>
                <w:bCs/>
                <w:sz w:val="20"/>
                <w:szCs w:val="20"/>
              </w:rPr>
              <w:t>Additional</w:t>
            </w:r>
            <w:r w:rsidR="00993871" w:rsidRPr="003F64B9">
              <w:rPr>
                <w:rFonts w:ascii="Calibri" w:hAnsi="Calibri" w:cs="Calibri"/>
                <w:b/>
                <w:bCs/>
                <w:sz w:val="20"/>
                <w:szCs w:val="20"/>
              </w:rPr>
              <w:t xml:space="preserve"> Domain-Related </w:t>
            </w:r>
            <w:r w:rsidR="003F64B9">
              <w:rPr>
                <w:rFonts w:ascii="Calibri" w:hAnsi="Calibri" w:cs="Calibri"/>
                <w:b/>
                <w:bCs/>
                <w:sz w:val="20"/>
                <w:szCs w:val="20"/>
              </w:rPr>
              <w:t>Mentions</w:t>
            </w:r>
            <w:r w:rsidR="00993871" w:rsidRPr="003F64B9">
              <w:rPr>
                <w:rFonts w:ascii="Calibri" w:hAnsi="Calibri" w:cs="Calibri"/>
                <w:b/>
                <w:bCs/>
                <w:sz w:val="20"/>
                <w:szCs w:val="20"/>
              </w:rPr>
              <w:t xml:space="preserve"> </w:t>
            </w:r>
          </w:p>
          <w:p w14:paraId="71168981" w14:textId="6A59029E" w:rsidR="00032BF0" w:rsidRPr="003F64B9" w:rsidRDefault="00032BF0" w:rsidP="000D3AFC">
            <w:pPr>
              <w:autoSpaceDE w:val="0"/>
              <w:autoSpaceDN w:val="0"/>
              <w:adjustRightInd w:val="0"/>
              <w:rPr>
                <w:rFonts w:ascii="Calibri" w:hAnsi="Calibri" w:cs="Calibri"/>
                <w:sz w:val="20"/>
                <w:szCs w:val="20"/>
              </w:rPr>
            </w:pPr>
            <w:r w:rsidRPr="003F64B9">
              <w:rPr>
                <w:rFonts w:ascii="Calibri" w:hAnsi="Calibri" w:cs="Calibri"/>
                <w:sz w:val="20"/>
                <w:szCs w:val="20"/>
              </w:rPr>
              <w:t>Domain 2.5, “Develop a Plan of Care,” p. 31.</w:t>
            </w:r>
          </w:p>
          <w:p w14:paraId="0F98BEE7" w14:textId="71E0548B" w:rsidR="00032BF0" w:rsidRPr="003F64B9" w:rsidRDefault="00032BF0" w:rsidP="000D3AFC">
            <w:pPr>
              <w:autoSpaceDE w:val="0"/>
              <w:autoSpaceDN w:val="0"/>
              <w:adjustRightInd w:val="0"/>
              <w:rPr>
                <w:rFonts w:ascii="Calibri" w:hAnsi="Calibri" w:cs="Calibri"/>
                <w:sz w:val="20"/>
                <w:szCs w:val="20"/>
              </w:rPr>
            </w:pPr>
          </w:p>
          <w:p w14:paraId="46185447" w14:textId="4B82E5F1" w:rsidR="00032BF0" w:rsidRPr="003F64B9" w:rsidRDefault="00032BF0" w:rsidP="000D3AFC">
            <w:pPr>
              <w:autoSpaceDE w:val="0"/>
              <w:autoSpaceDN w:val="0"/>
              <w:adjustRightInd w:val="0"/>
              <w:rPr>
                <w:rFonts w:ascii="Calibri" w:hAnsi="Calibri" w:cs="Calibri"/>
                <w:sz w:val="20"/>
                <w:szCs w:val="20"/>
              </w:rPr>
            </w:pPr>
            <w:r w:rsidRPr="003F64B9">
              <w:rPr>
                <w:rFonts w:ascii="Calibri" w:hAnsi="Calibri" w:cs="Calibri"/>
                <w:sz w:val="20"/>
                <w:szCs w:val="20"/>
              </w:rPr>
              <w:t>Domain 4</w:t>
            </w:r>
            <w:r w:rsidR="004E7D92">
              <w:rPr>
                <w:rFonts w:ascii="Calibri" w:hAnsi="Calibri" w:cs="Calibri"/>
                <w:sz w:val="20"/>
                <w:szCs w:val="20"/>
              </w:rPr>
              <w:t>.1</w:t>
            </w:r>
            <w:r w:rsidRPr="003F64B9">
              <w:rPr>
                <w:rFonts w:ascii="Calibri" w:hAnsi="Calibri" w:cs="Calibri"/>
                <w:sz w:val="20"/>
                <w:szCs w:val="20"/>
              </w:rPr>
              <w:t>, description and Competency</w:t>
            </w:r>
            <w:r w:rsidR="004E7D92">
              <w:rPr>
                <w:rFonts w:ascii="Calibri" w:hAnsi="Calibri" w:cs="Calibri"/>
                <w:sz w:val="20"/>
                <w:szCs w:val="20"/>
              </w:rPr>
              <w:t xml:space="preserve">, </w:t>
            </w:r>
            <w:r w:rsidRPr="003F64B9">
              <w:rPr>
                <w:rFonts w:ascii="Calibri" w:hAnsi="Calibri" w:cs="Calibri"/>
                <w:sz w:val="20"/>
                <w:szCs w:val="20"/>
              </w:rPr>
              <w:t>p. 37.</w:t>
            </w:r>
          </w:p>
          <w:p w14:paraId="5B19ADF7" w14:textId="0333BD9E" w:rsidR="00032BF0" w:rsidRPr="003F64B9" w:rsidRDefault="00032BF0" w:rsidP="000D3AFC">
            <w:pPr>
              <w:autoSpaceDE w:val="0"/>
              <w:autoSpaceDN w:val="0"/>
              <w:adjustRightInd w:val="0"/>
              <w:rPr>
                <w:rFonts w:ascii="Calibri" w:hAnsi="Calibri" w:cs="Calibri"/>
                <w:sz w:val="20"/>
                <w:szCs w:val="20"/>
              </w:rPr>
            </w:pPr>
          </w:p>
          <w:p w14:paraId="72FE048D" w14:textId="54F59816" w:rsidR="00032BF0" w:rsidRPr="003F64B9" w:rsidRDefault="00032BF0" w:rsidP="000D3AFC">
            <w:pPr>
              <w:autoSpaceDE w:val="0"/>
              <w:autoSpaceDN w:val="0"/>
              <w:adjustRightInd w:val="0"/>
              <w:rPr>
                <w:rFonts w:ascii="Calibri" w:hAnsi="Calibri" w:cs="Calibri"/>
                <w:sz w:val="20"/>
                <w:szCs w:val="20"/>
              </w:rPr>
            </w:pPr>
            <w:r w:rsidRPr="003F64B9">
              <w:rPr>
                <w:rFonts w:ascii="Calibri" w:hAnsi="Calibri" w:cs="Calibri"/>
                <w:sz w:val="20"/>
                <w:szCs w:val="20"/>
              </w:rPr>
              <w:lastRenderedPageBreak/>
              <w:t>Domain 5.2b, :Contribute to a Culture of Patient Safety,” p. 40.</w:t>
            </w:r>
          </w:p>
          <w:p w14:paraId="6CD86911" w14:textId="4543B2A7" w:rsidR="00032BF0" w:rsidRPr="003F64B9" w:rsidRDefault="00032BF0" w:rsidP="000D3AFC">
            <w:pPr>
              <w:autoSpaceDE w:val="0"/>
              <w:autoSpaceDN w:val="0"/>
              <w:adjustRightInd w:val="0"/>
              <w:rPr>
                <w:rFonts w:ascii="Calibri" w:hAnsi="Calibri" w:cs="Calibri"/>
                <w:sz w:val="20"/>
                <w:szCs w:val="20"/>
              </w:rPr>
            </w:pPr>
          </w:p>
          <w:p w14:paraId="512985B6" w14:textId="7C75F528" w:rsidR="00032BF0" w:rsidRPr="003F64B9" w:rsidRDefault="00032BF0" w:rsidP="000D3AFC">
            <w:pPr>
              <w:autoSpaceDE w:val="0"/>
              <w:autoSpaceDN w:val="0"/>
              <w:adjustRightInd w:val="0"/>
              <w:rPr>
                <w:rFonts w:ascii="Calibri" w:hAnsi="Calibri" w:cs="Calibri"/>
                <w:sz w:val="20"/>
                <w:szCs w:val="20"/>
              </w:rPr>
            </w:pPr>
            <w:r w:rsidRPr="003F64B9">
              <w:rPr>
                <w:rFonts w:ascii="Calibri" w:hAnsi="Calibri" w:cs="Calibri"/>
                <w:sz w:val="20"/>
                <w:szCs w:val="20"/>
              </w:rPr>
              <w:t xml:space="preserve">Domain 6 description and Competencies 6.1g, 6.1h, 6.1j, 6.1l, 6.2d, 6.3a, </w:t>
            </w:r>
            <w:r w:rsidR="00993871" w:rsidRPr="003F64B9">
              <w:rPr>
                <w:rFonts w:ascii="Calibri" w:hAnsi="Calibri" w:cs="Calibri"/>
                <w:sz w:val="20"/>
                <w:szCs w:val="20"/>
              </w:rPr>
              <w:t xml:space="preserve">6.4d, 6.4f, 6.4i, </w:t>
            </w:r>
            <w:r w:rsidRPr="003F64B9">
              <w:rPr>
                <w:rFonts w:ascii="Calibri" w:hAnsi="Calibri" w:cs="Calibri"/>
                <w:sz w:val="20"/>
                <w:szCs w:val="20"/>
              </w:rPr>
              <w:t>(pp. 42-43).</w:t>
            </w:r>
          </w:p>
          <w:p w14:paraId="1FC9DBBB" w14:textId="77777777" w:rsidR="000D3AFC" w:rsidRPr="003F64B9" w:rsidRDefault="000D3AFC" w:rsidP="000D3AFC">
            <w:pPr>
              <w:autoSpaceDE w:val="0"/>
              <w:autoSpaceDN w:val="0"/>
              <w:adjustRightInd w:val="0"/>
              <w:rPr>
                <w:rFonts w:ascii="Calibri" w:hAnsi="Calibri" w:cs="Calibri"/>
                <w:sz w:val="20"/>
                <w:szCs w:val="20"/>
              </w:rPr>
            </w:pPr>
          </w:p>
          <w:p w14:paraId="6EB3B1D3" w14:textId="7323B00B" w:rsidR="002105D6" w:rsidRPr="003F64B9" w:rsidRDefault="00993871" w:rsidP="00ED05BC">
            <w:pPr>
              <w:rPr>
                <w:rFonts w:ascii="Calibri" w:hAnsi="Calibri" w:cs="Calibri"/>
                <w:sz w:val="20"/>
                <w:szCs w:val="20"/>
              </w:rPr>
            </w:pPr>
            <w:r w:rsidRPr="003F64B9">
              <w:rPr>
                <w:rFonts w:ascii="Calibri" w:hAnsi="Calibri" w:cs="Calibri"/>
                <w:sz w:val="20"/>
                <w:szCs w:val="20"/>
              </w:rPr>
              <w:t>Domain 9.3o, 9.5fp. 50.</w:t>
            </w:r>
          </w:p>
          <w:p w14:paraId="498A2B4E" w14:textId="54AC1F95" w:rsidR="00993871" w:rsidRPr="003F64B9" w:rsidRDefault="00993871" w:rsidP="00ED05BC">
            <w:pPr>
              <w:rPr>
                <w:rFonts w:ascii="Calibri" w:hAnsi="Calibri" w:cs="Calibri"/>
                <w:sz w:val="20"/>
                <w:szCs w:val="20"/>
              </w:rPr>
            </w:pPr>
          </w:p>
          <w:p w14:paraId="6A448592" w14:textId="5F82B254" w:rsidR="00993871" w:rsidRPr="003F64B9" w:rsidRDefault="00993871" w:rsidP="00ED05BC">
            <w:pPr>
              <w:rPr>
                <w:rFonts w:ascii="Calibri" w:hAnsi="Calibri" w:cs="Calibri"/>
                <w:sz w:val="20"/>
                <w:szCs w:val="20"/>
              </w:rPr>
            </w:pPr>
            <w:r w:rsidRPr="003F64B9">
              <w:rPr>
                <w:rFonts w:ascii="Calibri" w:hAnsi="Calibri" w:cs="Calibri"/>
                <w:sz w:val="20"/>
                <w:szCs w:val="20"/>
              </w:rPr>
              <w:t>AACN Glossary, p. 61.</w:t>
            </w:r>
          </w:p>
          <w:p w14:paraId="34002658" w14:textId="77777777" w:rsidR="00993871" w:rsidRPr="003F64B9" w:rsidRDefault="00993871" w:rsidP="00ED05BC">
            <w:pPr>
              <w:rPr>
                <w:rFonts w:ascii="Calibri" w:hAnsi="Calibri" w:cs="Calibri"/>
                <w:sz w:val="20"/>
                <w:szCs w:val="20"/>
              </w:rPr>
            </w:pPr>
          </w:p>
          <w:p w14:paraId="4E0878B3" w14:textId="7EB9EA6D" w:rsidR="002105D6" w:rsidRPr="003F64B9" w:rsidRDefault="002105D6" w:rsidP="00ED05BC">
            <w:pPr>
              <w:rPr>
                <w:sz w:val="20"/>
                <w:szCs w:val="20"/>
              </w:rPr>
            </w:pPr>
            <w:r w:rsidRPr="003F64B9">
              <w:rPr>
                <w:rFonts w:ascii="Calibri" w:hAnsi="Calibri" w:cs="Calibri"/>
                <w:sz w:val="20"/>
                <w:szCs w:val="20"/>
              </w:rPr>
              <w:t>See AACN Essentials Document for further information and specific listing of skills and competencies.</w:t>
            </w:r>
          </w:p>
        </w:tc>
        <w:tc>
          <w:tcPr>
            <w:tcW w:w="3277" w:type="dxa"/>
          </w:tcPr>
          <w:p w14:paraId="2E73F115" w14:textId="77777777" w:rsidR="002105D6" w:rsidRPr="003F64B9" w:rsidRDefault="000D3AFC" w:rsidP="00ED05BC">
            <w:pPr>
              <w:rPr>
                <w:sz w:val="20"/>
                <w:szCs w:val="20"/>
              </w:rPr>
            </w:pPr>
            <w:r w:rsidRPr="003F64B9">
              <w:rPr>
                <w:sz w:val="20"/>
                <w:szCs w:val="20"/>
              </w:rPr>
              <w:lastRenderedPageBreak/>
              <w:t>FONR, “Learning to Collaborate Across Disciplines and Sectors,” pp. 208-209.</w:t>
            </w:r>
          </w:p>
          <w:p w14:paraId="2EC97FC5" w14:textId="77777777" w:rsidR="00D164B4" w:rsidRPr="003F64B9" w:rsidRDefault="00D164B4" w:rsidP="00ED05BC">
            <w:pPr>
              <w:rPr>
                <w:sz w:val="20"/>
                <w:szCs w:val="20"/>
              </w:rPr>
            </w:pPr>
          </w:p>
          <w:p w14:paraId="3646CB6B" w14:textId="77777777" w:rsidR="00D164B4" w:rsidRPr="003F64B9" w:rsidRDefault="00D164B4" w:rsidP="00ED05BC">
            <w:pPr>
              <w:rPr>
                <w:sz w:val="20"/>
                <w:szCs w:val="20"/>
              </w:rPr>
            </w:pPr>
            <w:r w:rsidRPr="003F64B9">
              <w:rPr>
                <w:sz w:val="20"/>
                <w:szCs w:val="20"/>
              </w:rPr>
              <w:t>In the FONR there were 125 mentions of the term “Interprofessional” throughout the document.  Here is a sampling of where it is mentioned:</w:t>
            </w:r>
          </w:p>
          <w:p w14:paraId="1205F30E" w14:textId="77777777" w:rsidR="00D164B4" w:rsidRPr="003F64B9" w:rsidRDefault="00D164B4" w:rsidP="00ED05BC">
            <w:pPr>
              <w:rPr>
                <w:sz w:val="20"/>
                <w:szCs w:val="20"/>
              </w:rPr>
            </w:pPr>
          </w:p>
          <w:p w14:paraId="126D5069" w14:textId="77777777" w:rsidR="00D164B4" w:rsidRPr="003F64B9" w:rsidRDefault="00D164B4" w:rsidP="00ED05BC">
            <w:pPr>
              <w:rPr>
                <w:sz w:val="20"/>
                <w:szCs w:val="20"/>
              </w:rPr>
            </w:pPr>
            <w:r w:rsidRPr="003F64B9">
              <w:rPr>
                <w:sz w:val="20"/>
                <w:szCs w:val="20"/>
              </w:rPr>
              <w:t>Conclusion 7-3, FONR, p. 9.</w:t>
            </w:r>
          </w:p>
          <w:p w14:paraId="0CD61A66" w14:textId="77777777" w:rsidR="00D164B4" w:rsidRPr="003F64B9" w:rsidRDefault="00D164B4" w:rsidP="00ED05BC">
            <w:pPr>
              <w:rPr>
                <w:sz w:val="20"/>
                <w:szCs w:val="20"/>
              </w:rPr>
            </w:pPr>
          </w:p>
          <w:p w14:paraId="1B17E8BF" w14:textId="77777777" w:rsidR="00D164B4" w:rsidRPr="003F64B9" w:rsidRDefault="00D164B4" w:rsidP="00ED05BC">
            <w:pPr>
              <w:rPr>
                <w:sz w:val="20"/>
                <w:szCs w:val="20"/>
              </w:rPr>
            </w:pPr>
            <w:r w:rsidRPr="003F64B9">
              <w:rPr>
                <w:sz w:val="20"/>
                <w:szCs w:val="20"/>
              </w:rPr>
              <w:t>Box 1-1 “Types of Nursing Care Providers,” p. 19.</w:t>
            </w:r>
          </w:p>
          <w:p w14:paraId="20BD12B3" w14:textId="77777777" w:rsidR="00D164B4" w:rsidRPr="003F64B9" w:rsidRDefault="00D164B4" w:rsidP="00ED05BC">
            <w:pPr>
              <w:rPr>
                <w:sz w:val="20"/>
                <w:szCs w:val="20"/>
              </w:rPr>
            </w:pPr>
          </w:p>
          <w:p w14:paraId="2DE84672" w14:textId="77777777" w:rsidR="00D164B4" w:rsidRPr="003F64B9" w:rsidRDefault="00D164B4" w:rsidP="00ED05BC">
            <w:pPr>
              <w:rPr>
                <w:sz w:val="20"/>
                <w:szCs w:val="20"/>
              </w:rPr>
            </w:pPr>
            <w:r w:rsidRPr="003F64B9">
              <w:rPr>
                <w:sz w:val="20"/>
                <w:szCs w:val="20"/>
              </w:rPr>
              <w:t>“Care for People of Color and People with Limited English Proficiency,” p. 75.</w:t>
            </w:r>
          </w:p>
          <w:p w14:paraId="27BC9571" w14:textId="77777777" w:rsidR="00D164B4" w:rsidRPr="003F64B9" w:rsidRDefault="00D164B4" w:rsidP="00ED05BC">
            <w:pPr>
              <w:rPr>
                <w:sz w:val="20"/>
                <w:szCs w:val="20"/>
              </w:rPr>
            </w:pPr>
          </w:p>
          <w:p w14:paraId="65C9EAC3" w14:textId="77777777" w:rsidR="00D164B4" w:rsidRPr="003F64B9" w:rsidRDefault="00E36B0F" w:rsidP="00ED05BC">
            <w:pPr>
              <w:rPr>
                <w:sz w:val="20"/>
                <w:szCs w:val="20"/>
              </w:rPr>
            </w:pPr>
            <w:r w:rsidRPr="003F64B9">
              <w:rPr>
                <w:sz w:val="20"/>
                <w:szCs w:val="20"/>
              </w:rPr>
              <w:t>“The Need for BSN prepared Nurses,” p. 200.</w:t>
            </w:r>
          </w:p>
          <w:p w14:paraId="50E98962" w14:textId="77777777" w:rsidR="00E36B0F" w:rsidRPr="003F64B9" w:rsidRDefault="00E36B0F" w:rsidP="00ED05BC">
            <w:pPr>
              <w:rPr>
                <w:sz w:val="20"/>
                <w:szCs w:val="20"/>
              </w:rPr>
            </w:pPr>
          </w:p>
          <w:p w14:paraId="00E9DA69" w14:textId="77777777" w:rsidR="00E36B0F" w:rsidRPr="003F64B9" w:rsidRDefault="00E36B0F" w:rsidP="00ED05BC">
            <w:pPr>
              <w:rPr>
                <w:sz w:val="20"/>
                <w:szCs w:val="20"/>
              </w:rPr>
            </w:pPr>
            <w:r w:rsidRPr="003F64B9">
              <w:rPr>
                <w:sz w:val="20"/>
                <w:szCs w:val="20"/>
              </w:rPr>
              <w:t>“Domains and Competencies for Equity,” pp. 202-203.</w:t>
            </w:r>
          </w:p>
          <w:p w14:paraId="3169F7F6" w14:textId="77777777" w:rsidR="00E36B0F" w:rsidRPr="003F64B9" w:rsidRDefault="00E36B0F" w:rsidP="00ED05BC">
            <w:pPr>
              <w:rPr>
                <w:sz w:val="20"/>
                <w:szCs w:val="20"/>
              </w:rPr>
            </w:pPr>
          </w:p>
          <w:p w14:paraId="06A1BEC7" w14:textId="77777777" w:rsidR="00E36B0F" w:rsidRPr="003F64B9" w:rsidRDefault="00E36B0F" w:rsidP="00ED05BC">
            <w:pPr>
              <w:rPr>
                <w:sz w:val="20"/>
                <w:szCs w:val="20"/>
              </w:rPr>
            </w:pPr>
            <w:r w:rsidRPr="003F64B9">
              <w:rPr>
                <w:sz w:val="20"/>
                <w:szCs w:val="20"/>
              </w:rPr>
              <w:t>“Conclusion 7-2,” p. 232.</w:t>
            </w:r>
          </w:p>
          <w:p w14:paraId="2B598253" w14:textId="77777777" w:rsidR="00E36B0F" w:rsidRPr="003F64B9" w:rsidRDefault="00E36B0F" w:rsidP="00ED05BC">
            <w:pPr>
              <w:rPr>
                <w:sz w:val="20"/>
                <w:szCs w:val="20"/>
              </w:rPr>
            </w:pPr>
          </w:p>
          <w:p w14:paraId="7CB3E337" w14:textId="77777777" w:rsidR="00E36B0F" w:rsidRPr="003F64B9" w:rsidRDefault="00E36B0F" w:rsidP="00ED05BC">
            <w:pPr>
              <w:rPr>
                <w:sz w:val="20"/>
                <w:szCs w:val="20"/>
              </w:rPr>
            </w:pPr>
            <w:r w:rsidRPr="003F64B9">
              <w:rPr>
                <w:sz w:val="20"/>
                <w:szCs w:val="20"/>
              </w:rPr>
              <w:t>“Disaster Preparedness and Public Health Emergency Response,” p. 264.</w:t>
            </w:r>
          </w:p>
          <w:p w14:paraId="2DB3FF2C" w14:textId="77777777" w:rsidR="00E36B0F" w:rsidRPr="003F64B9" w:rsidRDefault="00E36B0F" w:rsidP="00ED05BC">
            <w:pPr>
              <w:rPr>
                <w:sz w:val="20"/>
                <w:szCs w:val="20"/>
              </w:rPr>
            </w:pPr>
          </w:p>
          <w:p w14:paraId="360B526E" w14:textId="6AED6376" w:rsidR="00E36B0F" w:rsidRPr="003F64B9" w:rsidRDefault="00E36B0F" w:rsidP="00ED05BC">
            <w:pPr>
              <w:rPr>
                <w:sz w:val="20"/>
                <w:szCs w:val="20"/>
              </w:rPr>
            </w:pPr>
            <w:r w:rsidRPr="003F64B9">
              <w:rPr>
                <w:sz w:val="20"/>
                <w:szCs w:val="20"/>
              </w:rPr>
              <w:t>Table 9-1, “Framework for Nurse Leadership,” p. 279.</w:t>
            </w:r>
          </w:p>
        </w:tc>
        <w:tc>
          <w:tcPr>
            <w:tcW w:w="3414" w:type="dxa"/>
          </w:tcPr>
          <w:p w14:paraId="150E6023" w14:textId="77777777" w:rsidR="00E36B0F" w:rsidRPr="003F64B9" w:rsidRDefault="00E36B0F" w:rsidP="00ED05BC">
            <w:pPr>
              <w:rPr>
                <w:rStyle w:val="Hyperlink"/>
                <w:sz w:val="20"/>
                <w:szCs w:val="20"/>
              </w:rPr>
            </w:pPr>
            <w:r w:rsidRPr="003F64B9">
              <w:rPr>
                <w:sz w:val="20"/>
                <w:szCs w:val="20"/>
              </w:rPr>
              <w:lastRenderedPageBreak/>
              <w:t xml:space="preserve">HP2030 Website, </w:t>
            </w:r>
            <w:hyperlink r:id="rId14" w:history="1">
              <w:r w:rsidRPr="003F64B9">
                <w:rPr>
                  <w:rStyle w:val="Hyperlink"/>
                  <w:sz w:val="20"/>
                  <w:szCs w:val="20"/>
                </w:rPr>
                <w:t>https://health.gov/healthypeople</w:t>
              </w:r>
            </w:hyperlink>
            <w:r w:rsidRPr="003F64B9">
              <w:rPr>
                <w:rStyle w:val="Hyperlink"/>
                <w:sz w:val="20"/>
                <w:szCs w:val="20"/>
              </w:rPr>
              <w:t xml:space="preserve"> </w:t>
            </w:r>
          </w:p>
          <w:p w14:paraId="63156C49" w14:textId="77777777" w:rsidR="00E36B0F" w:rsidRPr="003F64B9" w:rsidRDefault="00E36B0F" w:rsidP="00ED05BC">
            <w:pPr>
              <w:rPr>
                <w:color w:val="0563C1" w:themeColor="hyperlink"/>
                <w:sz w:val="20"/>
                <w:szCs w:val="20"/>
                <w:u w:val="single"/>
              </w:rPr>
            </w:pPr>
          </w:p>
          <w:p w14:paraId="6B6612E9" w14:textId="076E94D1" w:rsidR="003C6047" w:rsidRPr="003F64B9" w:rsidRDefault="00E36B0F" w:rsidP="00ED05BC">
            <w:pPr>
              <w:rPr>
                <w:sz w:val="20"/>
                <w:szCs w:val="20"/>
              </w:rPr>
            </w:pPr>
            <w:r w:rsidRPr="003F64B9">
              <w:rPr>
                <w:sz w:val="20"/>
                <w:szCs w:val="20"/>
              </w:rPr>
              <w:t>“Increase Interprofessional Prevention Education in Health Professions Training Programs- ECBP-</w:t>
            </w:r>
            <w:r w:rsidR="003C6047" w:rsidRPr="003F64B9">
              <w:rPr>
                <w:sz w:val="20"/>
                <w:szCs w:val="20"/>
              </w:rPr>
              <w:t>D08: Increase the inclusion of interprofessional prevention education in the curricula of health professions programs.”</w:t>
            </w:r>
          </w:p>
        </w:tc>
      </w:tr>
      <w:tr w:rsidR="00BC711C" w14:paraId="5F74476F" w14:textId="77777777" w:rsidTr="00BC711C">
        <w:tc>
          <w:tcPr>
            <w:tcW w:w="3036" w:type="dxa"/>
          </w:tcPr>
          <w:p w14:paraId="3221B8CA" w14:textId="6DC5346F" w:rsidR="002105D6" w:rsidRPr="003F64B9" w:rsidRDefault="003F64B9" w:rsidP="00ED05BC">
            <w:pPr>
              <w:rPr>
                <w:b/>
                <w:bCs/>
                <w:sz w:val="24"/>
                <w:szCs w:val="24"/>
              </w:rPr>
            </w:pPr>
            <w:r w:rsidRPr="003F64B9">
              <w:rPr>
                <w:b/>
                <w:bCs/>
                <w:sz w:val="24"/>
                <w:szCs w:val="24"/>
              </w:rPr>
              <w:t>Systems-Based Practice</w:t>
            </w:r>
          </w:p>
        </w:tc>
        <w:tc>
          <w:tcPr>
            <w:tcW w:w="3588" w:type="dxa"/>
          </w:tcPr>
          <w:p w14:paraId="5626FFC2" w14:textId="69902FD0" w:rsidR="003F64B9" w:rsidRPr="003F64B9" w:rsidRDefault="003F64B9" w:rsidP="003F64B9">
            <w:pPr>
              <w:autoSpaceDE w:val="0"/>
              <w:autoSpaceDN w:val="0"/>
              <w:adjustRightInd w:val="0"/>
              <w:rPr>
                <w:rFonts w:ascii="Calibri" w:hAnsi="Calibri" w:cs="Calibri"/>
                <w:sz w:val="20"/>
                <w:szCs w:val="20"/>
              </w:rPr>
            </w:pPr>
            <w:r w:rsidRPr="004E7D92">
              <w:rPr>
                <w:rFonts w:ascii="Calibri" w:hAnsi="Calibri" w:cs="Calibri"/>
                <w:b/>
                <w:bCs/>
                <w:sz w:val="24"/>
                <w:szCs w:val="24"/>
              </w:rPr>
              <w:t>Domain 7: Systems Based Practice</w:t>
            </w:r>
            <w:r w:rsidRPr="003F64B9">
              <w:rPr>
                <w:rFonts w:ascii="Calibri" w:hAnsi="Calibri" w:cs="Calibri"/>
                <w:sz w:val="20"/>
                <w:szCs w:val="20"/>
              </w:rPr>
              <w:t xml:space="preserve"> involves responding to and leading within complex systems of health care. Nurses</w:t>
            </w:r>
            <w:r>
              <w:rPr>
                <w:rFonts w:ascii="Calibri" w:hAnsi="Calibri" w:cs="Calibri"/>
                <w:sz w:val="20"/>
                <w:szCs w:val="20"/>
              </w:rPr>
              <w:t xml:space="preserve"> </w:t>
            </w:r>
            <w:r w:rsidRPr="003F64B9">
              <w:rPr>
                <w:rFonts w:ascii="Calibri" w:hAnsi="Calibri" w:cs="Calibri"/>
                <w:sz w:val="20"/>
                <w:szCs w:val="20"/>
              </w:rPr>
              <w:t>effectively and proactively coordinate resources to provide safe, quality, and equitable care to</w:t>
            </w:r>
          </w:p>
          <w:p w14:paraId="3F7451B9" w14:textId="034453B8" w:rsidR="003F64B9" w:rsidRDefault="003F64B9" w:rsidP="003F64B9">
            <w:pPr>
              <w:autoSpaceDE w:val="0"/>
              <w:autoSpaceDN w:val="0"/>
              <w:adjustRightInd w:val="0"/>
              <w:rPr>
                <w:rFonts w:ascii="Calibri" w:hAnsi="Calibri" w:cs="Calibri"/>
                <w:sz w:val="20"/>
                <w:szCs w:val="20"/>
              </w:rPr>
            </w:pPr>
            <w:r w:rsidRPr="003F64B9">
              <w:rPr>
                <w:rFonts w:ascii="Calibri" w:hAnsi="Calibri" w:cs="Calibri"/>
                <w:sz w:val="20"/>
                <w:szCs w:val="20"/>
              </w:rPr>
              <w:t>diverse populations. (AACN Essentials Domain 7, p. 44).</w:t>
            </w:r>
          </w:p>
          <w:p w14:paraId="6F4C5F01" w14:textId="43BA4701" w:rsidR="003F64B9" w:rsidRDefault="003F64B9" w:rsidP="003F64B9">
            <w:pPr>
              <w:autoSpaceDE w:val="0"/>
              <w:autoSpaceDN w:val="0"/>
              <w:adjustRightInd w:val="0"/>
              <w:rPr>
                <w:rFonts w:ascii="Calibri" w:hAnsi="Calibri" w:cs="Calibri"/>
                <w:sz w:val="20"/>
                <w:szCs w:val="20"/>
              </w:rPr>
            </w:pPr>
            <w:r>
              <w:rPr>
                <w:rFonts w:ascii="Calibri" w:hAnsi="Calibri" w:cs="Calibri"/>
                <w:sz w:val="20"/>
                <w:szCs w:val="20"/>
              </w:rPr>
              <w:t>“Nursing Education for the 21</w:t>
            </w:r>
            <w:r w:rsidRPr="003F64B9">
              <w:rPr>
                <w:rFonts w:ascii="Calibri" w:hAnsi="Calibri" w:cs="Calibri"/>
                <w:sz w:val="20"/>
                <w:szCs w:val="20"/>
                <w:vertAlign w:val="superscript"/>
              </w:rPr>
              <w:t>st</w:t>
            </w:r>
            <w:r>
              <w:rPr>
                <w:rFonts w:ascii="Calibri" w:hAnsi="Calibri" w:cs="Calibri"/>
                <w:sz w:val="20"/>
                <w:szCs w:val="20"/>
              </w:rPr>
              <w:t xml:space="preserve"> Century,” AACN Essentials, p. 5-11.</w:t>
            </w:r>
          </w:p>
          <w:p w14:paraId="5C42C56E" w14:textId="089D0586" w:rsidR="003F64B9" w:rsidRDefault="003F64B9" w:rsidP="003F64B9">
            <w:pPr>
              <w:autoSpaceDE w:val="0"/>
              <w:autoSpaceDN w:val="0"/>
              <w:adjustRightInd w:val="0"/>
              <w:rPr>
                <w:rFonts w:ascii="Calibri" w:hAnsi="Calibri" w:cs="Calibri"/>
                <w:sz w:val="20"/>
                <w:szCs w:val="20"/>
              </w:rPr>
            </w:pPr>
          </w:p>
          <w:p w14:paraId="0AE9A320" w14:textId="50D1D061" w:rsidR="003F64B9" w:rsidRPr="003F64B9" w:rsidRDefault="003F64B9" w:rsidP="003F64B9">
            <w:pPr>
              <w:autoSpaceDE w:val="0"/>
              <w:autoSpaceDN w:val="0"/>
              <w:adjustRightInd w:val="0"/>
              <w:rPr>
                <w:rFonts w:ascii="Calibri" w:hAnsi="Calibri" w:cs="Calibri"/>
                <w:sz w:val="20"/>
                <w:szCs w:val="20"/>
              </w:rPr>
            </w:pPr>
            <w:r>
              <w:rPr>
                <w:rFonts w:ascii="Calibri" w:hAnsi="Calibri" w:cs="Calibri"/>
                <w:sz w:val="20"/>
                <w:szCs w:val="20"/>
              </w:rPr>
              <w:t>AACN Essentials Glossary, p. 66.</w:t>
            </w:r>
          </w:p>
          <w:p w14:paraId="4539675F" w14:textId="77777777" w:rsidR="002105D6" w:rsidRPr="00ED0986" w:rsidRDefault="002105D6" w:rsidP="00ED05BC">
            <w:pPr>
              <w:rPr>
                <w:rFonts w:ascii="Calibri" w:hAnsi="Calibri" w:cs="Calibri"/>
                <w:sz w:val="20"/>
                <w:szCs w:val="20"/>
              </w:rPr>
            </w:pPr>
          </w:p>
          <w:p w14:paraId="52BADF78" w14:textId="463F7BCE" w:rsidR="002105D6" w:rsidRPr="00ED0986" w:rsidRDefault="002105D6" w:rsidP="00ED05BC">
            <w:pPr>
              <w:rPr>
                <w:sz w:val="20"/>
                <w:szCs w:val="20"/>
              </w:rPr>
            </w:pPr>
            <w:r w:rsidRPr="00ED0986">
              <w:rPr>
                <w:rFonts w:ascii="Calibri" w:hAnsi="Calibri" w:cs="Calibri"/>
                <w:sz w:val="20"/>
                <w:szCs w:val="20"/>
              </w:rPr>
              <w:t>See AACN Essentials Document for further information and specific listing of skills and competencies.</w:t>
            </w:r>
          </w:p>
        </w:tc>
        <w:tc>
          <w:tcPr>
            <w:tcW w:w="3277" w:type="dxa"/>
          </w:tcPr>
          <w:p w14:paraId="6C1F8DAC" w14:textId="77777777" w:rsidR="002105D6" w:rsidRDefault="003F64B9" w:rsidP="00ED05BC">
            <w:pPr>
              <w:rPr>
                <w:sz w:val="20"/>
                <w:szCs w:val="20"/>
              </w:rPr>
            </w:pPr>
            <w:r w:rsidRPr="00D80839">
              <w:rPr>
                <w:sz w:val="20"/>
                <w:szCs w:val="20"/>
              </w:rPr>
              <w:t>FONR, “Educating Nurses for the Future,” p. 195.</w:t>
            </w:r>
          </w:p>
          <w:p w14:paraId="193E3A31" w14:textId="77777777" w:rsidR="00420220" w:rsidRDefault="00420220" w:rsidP="00ED05BC">
            <w:pPr>
              <w:rPr>
                <w:sz w:val="20"/>
                <w:szCs w:val="20"/>
              </w:rPr>
            </w:pPr>
          </w:p>
          <w:p w14:paraId="661BE060" w14:textId="118AE9F6" w:rsidR="00420220" w:rsidRPr="00D80839" w:rsidRDefault="00420220" w:rsidP="00ED05BC">
            <w:pPr>
              <w:rPr>
                <w:sz w:val="20"/>
                <w:szCs w:val="20"/>
              </w:rPr>
            </w:pPr>
          </w:p>
        </w:tc>
        <w:tc>
          <w:tcPr>
            <w:tcW w:w="3414" w:type="dxa"/>
          </w:tcPr>
          <w:p w14:paraId="4CB61257" w14:textId="77777777" w:rsidR="003F64B9" w:rsidRPr="00D80839" w:rsidRDefault="003F64B9" w:rsidP="003F64B9">
            <w:pPr>
              <w:rPr>
                <w:rStyle w:val="Hyperlink"/>
                <w:sz w:val="20"/>
                <w:szCs w:val="20"/>
              </w:rPr>
            </w:pPr>
            <w:r w:rsidRPr="00D80839">
              <w:rPr>
                <w:sz w:val="20"/>
                <w:szCs w:val="20"/>
              </w:rPr>
              <w:t xml:space="preserve">HP2030 Website, </w:t>
            </w:r>
            <w:hyperlink r:id="rId15" w:history="1">
              <w:r w:rsidRPr="00D80839">
                <w:rPr>
                  <w:rStyle w:val="Hyperlink"/>
                  <w:sz w:val="20"/>
                  <w:szCs w:val="20"/>
                </w:rPr>
                <w:t>https://health.gov/healthypeople</w:t>
              </w:r>
            </w:hyperlink>
            <w:r w:rsidRPr="00D80839">
              <w:rPr>
                <w:rStyle w:val="Hyperlink"/>
                <w:sz w:val="20"/>
                <w:szCs w:val="20"/>
              </w:rPr>
              <w:t xml:space="preserve"> </w:t>
            </w:r>
          </w:p>
          <w:p w14:paraId="7FEA7588" w14:textId="77777777" w:rsidR="003F64B9" w:rsidRPr="00D80839" w:rsidRDefault="003F64B9" w:rsidP="003F64B9">
            <w:pPr>
              <w:rPr>
                <w:color w:val="0563C1" w:themeColor="hyperlink"/>
                <w:sz w:val="20"/>
                <w:szCs w:val="20"/>
                <w:u w:val="single"/>
              </w:rPr>
            </w:pPr>
          </w:p>
          <w:p w14:paraId="567B9E49" w14:textId="4BE108D0" w:rsidR="002105D6" w:rsidRPr="00D80839" w:rsidRDefault="00D80839" w:rsidP="00ED05BC">
            <w:pPr>
              <w:rPr>
                <w:sz w:val="20"/>
                <w:szCs w:val="20"/>
              </w:rPr>
            </w:pPr>
            <w:r w:rsidRPr="00D80839">
              <w:rPr>
                <w:sz w:val="20"/>
                <w:szCs w:val="20"/>
              </w:rPr>
              <w:t>This website has a “Settings and Systems” tab where healthcare systems/settings are listed along with resources and information promoting systems-based approaches to addressing priority health-related problems in the U.S. in multiple settings and situations.</w:t>
            </w:r>
          </w:p>
        </w:tc>
      </w:tr>
      <w:tr w:rsidR="00BC711C" w14:paraId="6500C95C" w14:textId="77777777" w:rsidTr="00BC711C">
        <w:tc>
          <w:tcPr>
            <w:tcW w:w="3036" w:type="dxa"/>
          </w:tcPr>
          <w:p w14:paraId="0AE56344" w14:textId="78FA99A8" w:rsidR="002105D6" w:rsidRPr="00D80839" w:rsidRDefault="00D80839" w:rsidP="00ED0986">
            <w:pPr>
              <w:autoSpaceDE w:val="0"/>
              <w:autoSpaceDN w:val="0"/>
              <w:adjustRightInd w:val="0"/>
              <w:rPr>
                <w:rFonts w:ascii="Calibri" w:hAnsi="Calibri" w:cs="Calibri"/>
                <w:b/>
                <w:bCs/>
                <w:sz w:val="24"/>
                <w:szCs w:val="24"/>
              </w:rPr>
            </w:pPr>
            <w:r w:rsidRPr="00D80839">
              <w:rPr>
                <w:rFonts w:ascii="Calibri" w:hAnsi="Calibri" w:cs="Calibri"/>
                <w:b/>
                <w:bCs/>
                <w:sz w:val="24"/>
                <w:szCs w:val="24"/>
              </w:rPr>
              <w:t>Informatics and Healthcare Technologies</w:t>
            </w:r>
          </w:p>
        </w:tc>
        <w:tc>
          <w:tcPr>
            <w:tcW w:w="3588" w:type="dxa"/>
          </w:tcPr>
          <w:p w14:paraId="4570A03A" w14:textId="77777777" w:rsidR="00D80839" w:rsidRPr="00D80839" w:rsidRDefault="00D80839" w:rsidP="00D80839">
            <w:pPr>
              <w:autoSpaceDE w:val="0"/>
              <w:autoSpaceDN w:val="0"/>
              <w:adjustRightInd w:val="0"/>
              <w:rPr>
                <w:rFonts w:ascii="Calibri" w:hAnsi="Calibri" w:cs="Calibri"/>
                <w:sz w:val="20"/>
                <w:szCs w:val="20"/>
              </w:rPr>
            </w:pPr>
            <w:r w:rsidRPr="004E7D92">
              <w:rPr>
                <w:rFonts w:ascii="Calibri" w:hAnsi="Calibri" w:cs="Calibri"/>
                <w:b/>
                <w:bCs/>
                <w:sz w:val="24"/>
                <w:szCs w:val="24"/>
              </w:rPr>
              <w:t>Domain 8: Informatics and Healthcare Technologies</w:t>
            </w:r>
            <w:r w:rsidRPr="00D80839">
              <w:rPr>
                <w:rFonts w:ascii="Calibri" w:hAnsi="Calibri" w:cs="Calibri"/>
                <w:b/>
                <w:bCs/>
                <w:sz w:val="20"/>
                <w:szCs w:val="20"/>
              </w:rPr>
              <w:t xml:space="preserve"> </w:t>
            </w:r>
            <w:r w:rsidRPr="00D80839">
              <w:rPr>
                <w:rFonts w:ascii="Calibri" w:hAnsi="Calibri" w:cs="Calibri"/>
                <w:sz w:val="20"/>
                <w:szCs w:val="20"/>
              </w:rPr>
              <w:t>and informatics processes are used to</w:t>
            </w:r>
          </w:p>
          <w:p w14:paraId="02671210" w14:textId="7B6809F6" w:rsidR="00D80839" w:rsidRPr="00D80839" w:rsidRDefault="00D80839" w:rsidP="00D80839">
            <w:pPr>
              <w:autoSpaceDE w:val="0"/>
              <w:autoSpaceDN w:val="0"/>
              <w:adjustRightInd w:val="0"/>
              <w:rPr>
                <w:rFonts w:ascii="Calibri" w:hAnsi="Calibri" w:cs="Calibri"/>
                <w:sz w:val="20"/>
                <w:szCs w:val="20"/>
              </w:rPr>
            </w:pPr>
            <w:r w:rsidRPr="00D80839">
              <w:rPr>
                <w:rFonts w:ascii="Calibri" w:hAnsi="Calibri" w:cs="Calibri"/>
                <w:sz w:val="20"/>
                <w:szCs w:val="20"/>
              </w:rPr>
              <w:t xml:space="preserve">provide care, gather data, form information to drive decision making, and support professionals as they expand knowledge and wisdom for </w:t>
            </w:r>
            <w:r w:rsidRPr="00D80839">
              <w:rPr>
                <w:rFonts w:ascii="Calibri" w:hAnsi="Calibri" w:cs="Calibri"/>
                <w:sz w:val="20"/>
                <w:szCs w:val="20"/>
              </w:rPr>
              <w:lastRenderedPageBreak/>
              <w:t>practice. Informatics processes and technologies are used to manage and improve the delivery of safe, high-quality, and efficient healthcare services in accordance with best practice and professional and regulatory standards. (AACN Essentials Domain 8, p</w:t>
            </w:r>
            <w:r w:rsidR="00256175">
              <w:rPr>
                <w:rFonts w:ascii="Calibri" w:hAnsi="Calibri" w:cs="Calibri"/>
                <w:sz w:val="20"/>
                <w:szCs w:val="20"/>
              </w:rPr>
              <w:t>p</w:t>
            </w:r>
            <w:r w:rsidRPr="00D80839">
              <w:rPr>
                <w:rFonts w:ascii="Calibri" w:hAnsi="Calibri" w:cs="Calibri"/>
                <w:sz w:val="20"/>
                <w:szCs w:val="20"/>
              </w:rPr>
              <w:t>. 46</w:t>
            </w:r>
            <w:r w:rsidR="00256175">
              <w:rPr>
                <w:rFonts w:ascii="Calibri" w:hAnsi="Calibri" w:cs="Calibri"/>
                <w:sz w:val="20"/>
                <w:szCs w:val="20"/>
              </w:rPr>
              <w:t>-48</w:t>
            </w:r>
            <w:r w:rsidRPr="00D80839">
              <w:rPr>
                <w:rFonts w:ascii="Calibri" w:hAnsi="Calibri" w:cs="Calibri"/>
                <w:sz w:val="20"/>
                <w:szCs w:val="20"/>
              </w:rPr>
              <w:t>).</w:t>
            </w:r>
          </w:p>
          <w:p w14:paraId="1A8876E1" w14:textId="77777777" w:rsidR="00256175" w:rsidRPr="00256175" w:rsidRDefault="00256175" w:rsidP="00256175">
            <w:pPr>
              <w:rPr>
                <w:rFonts w:ascii="Calibri" w:hAnsi="Calibri" w:cs="Calibri"/>
                <w:b/>
                <w:bCs/>
                <w:sz w:val="20"/>
                <w:szCs w:val="20"/>
              </w:rPr>
            </w:pPr>
          </w:p>
          <w:p w14:paraId="1D1DD76F" w14:textId="60C1763F" w:rsidR="002105D6" w:rsidRPr="00ED0986" w:rsidRDefault="002105D6" w:rsidP="00ED05BC">
            <w:pPr>
              <w:rPr>
                <w:sz w:val="20"/>
                <w:szCs w:val="20"/>
              </w:rPr>
            </w:pPr>
            <w:r w:rsidRPr="00ED0986">
              <w:rPr>
                <w:rFonts w:ascii="Calibri" w:hAnsi="Calibri" w:cs="Calibri"/>
                <w:sz w:val="20"/>
                <w:szCs w:val="20"/>
              </w:rPr>
              <w:t>See AACN Essentials Document for further information and specific listing of skills and competencies.</w:t>
            </w:r>
          </w:p>
        </w:tc>
        <w:tc>
          <w:tcPr>
            <w:tcW w:w="3277" w:type="dxa"/>
          </w:tcPr>
          <w:p w14:paraId="7CCC9ED3" w14:textId="1F598B98" w:rsidR="002105D6" w:rsidRDefault="00750085" w:rsidP="00ED05BC">
            <w:pPr>
              <w:rPr>
                <w:sz w:val="20"/>
                <w:szCs w:val="20"/>
              </w:rPr>
            </w:pPr>
            <w:r>
              <w:rPr>
                <w:sz w:val="20"/>
                <w:szCs w:val="20"/>
              </w:rPr>
              <w:lastRenderedPageBreak/>
              <w:t>FONR, “Recommendations and Research Priorities,” p. 368.</w:t>
            </w:r>
          </w:p>
          <w:p w14:paraId="494CFECA" w14:textId="29D76A8B" w:rsidR="00FA1C98" w:rsidRDefault="00FA1C98" w:rsidP="00ED05BC">
            <w:pPr>
              <w:rPr>
                <w:sz w:val="20"/>
                <w:szCs w:val="20"/>
              </w:rPr>
            </w:pPr>
          </w:p>
          <w:p w14:paraId="481F2432" w14:textId="2808D129" w:rsidR="00FA1C98" w:rsidRDefault="00FA1C98" w:rsidP="00ED05BC">
            <w:pPr>
              <w:rPr>
                <w:sz w:val="20"/>
                <w:szCs w:val="20"/>
              </w:rPr>
            </w:pPr>
            <w:r>
              <w:rPr>
                <w:sz w:val="20"/>
                <w:szCs w:val="20"/>
              </w:rPr>
              <w:t>FONR, “Continually Adapting to New Technologies,” pp. 209-212:</w:t>
            </w:r>
          </w:p>
          <w:p w14:paraId="754CDC5F" w14:textId="6185C673" w:rsidR="00FA1C98" w:rsidRDefault="00FA1C98" w:rsidP="00ED05BC">
            <w:pPr>
              <w:rPr>
                <w:sz w:val="20"/>
                <w:szCs w:val="20"/>
              </w:rPr>
            </w:pPr>
            <w:r>
              <w:rPr>
                <w:sz w:val="20"/>
                <w:szCs w:val="20"/>
              </w:rPr>
              <w:t xml:space="preserve">“Not all nurses will need to acquire all of the key technological </w:t>
            </w:r>
            <w:r>
              <w:rPr>
                <w:sz w:val="20"/>
                <w:szCs w:val="20"/>
              </w:rPr>
              <w:lastRenderedPageBreak/>
              <w:t xml:space="preserve">competencies; curricula can be developed according to the likely needs of nurses working at different levels…(Bottom of p. 212). </w:t>
            </w:r>
          </w:p>
          <w:p w14:paraId="08D49AEE" w14:textId="77777777" w:rsidR="00750085" w:rsidRDefault="00750085" w:rsidP="00ED05BC">
            <w:pPr>
              <w:rPr>
                <w:sz w:val="20"/>
                <w:szCs w:val="20"/>
              </w:rPr>
            </w:pPr>
          </w:p>
          <w:p w14:paraId="081DA641" w14:textId="77777777" w:rsidR="00750085" w:rsidRDefault="00750085" w:rsidP="00ED05BC">
            <w:pPr>
              <w:rPr>
                <w:sz w:val="20"/>
                <w:szCs w:val="20"/>
              </w:rPr>
            </w:pPr>
            <w:r>
              <w:rPr>
                <w:sz w:val="20"/>
                <w:szCs w:val="20"/>
              </w:rPr>
              <w:t>FONR, Appendix B, “Data Collection and Information Sources,” p. 391.</w:t>
            </w:r>
          </w:p>
          <w:p w14:paraId="64C41C29" w14:textId="77777777" w:rsidR="00750085" w:rsidRDefault="00750085" w:rsidP="00ED05BC">
            <w:pPr>
              <w:rPr>
                <w:sz w:val="20"/>
                <w:szCs w:val="20"/>
              </w:rPr>
            </w:pPr>
          </w:p>
          <w:p w14:paraId="2096A2AD" w14:textId="77777777" w:rsidR="00750085" w:rsidRDefault="00750085" w:rsidP="00ED05BC">
            <w:pPr>
              <w:rPr>
                <w:sz w:val="20"/>
                <w:szCs w:val="20"/>
              </w:rPr>
            </w:pPr>
            <w:r>
              <w:rPr>
                <w:sz w:val="20"/>
                <w:szCs w:val="20"/>
              </w:rPr>
              <w:t>FONR, Glossary, “Nursing Informatics,” p. 418.</w:t>
            </w:r>
          </w:p>
          <w:p w14:paraId="606F94EA" w14:textId="77777777" w:rsidR="00750085" w:rsidRDefault="00750085" w:rsidP="00ED05BC">
            <w:pPr>
              <w:rPr>
                <w:sz w:val="20"/>
                <w:szCs w:val="20"/>
              </w:rPr>
            </w:pPr>
          </w:p>
          <w:p w14:paraId="0240FE30" w14:textId="77777777" w:rsidR="00750085" w:rsidRDefault="00750085" w:rsidP="00ED05BC">
            <w:pPr>
              <w:rPr>
                <w:sz w:val="20"/>
                <w:szCs w:val="20"/>
              </w:rPr>
            </w:pPr>
            <w:r>
              <w:rPr>
                <w:sz w:val="20"/>
                <w:szCs w:val="20"/>
              </w:rPr>
              <w:t>FONR, “The Future of Nursing 2020-2030: Meeting America Where We Are,” #7 Bullet, p. 428.</w:t>
            </w:r>
          </w:p>
          <w:p w14:paraId="2802E25B" w14:textId="77777777" w:rsidR="00750085" w:rsidRDefault="00750085" w:rsidP="00ED05BC">
            <w:pPr>
              <w:rPr>
                <w:sz w:val="20"/>
                <w:szCs w:val="20"/>
              </w:rPr>
            </w:pPr>
          </w:p>
          <w:p w14:paraId="7BD73809" w14:textId="77777777" w:rsidR="00750085" w:rsidRDefault="00750085" w:rsidP="00ED05BC">
            <w:pPr>
              <w:rPr>
                <w:sz w:val="20"/>
                <w:szCs w:val="20"/>
              </w:rPr>
            </w:pPr>
            <w:r>
              <w:rPr>
                <w:sz w:val="20"/>
                <w:szCs w:val="20"/>
              </w:rPr>
              <w:t>FONR, “Charting a Path to Achieve Health Equity: Study Purpose and Approach”, p. 4.</w:t>
            </w:r>
          </w:p>
          <w:p w14:paraId="78938410" w14:textId="77777777" w:rsidR="00750085" w:rsidRDefault="00750085" w:rsidP="00ED05BC">
            <w:pPr>
              <w:rPr>
                <w:sz w:val="20"/>
                <w:szCs w:val="20"/>
              </w:rPr>
            </w:pPr>
          </w:p>
          <w:p w14:paraId="16AAF633" w14:textId="6EA65815" w:rsidR="00750085" w:rsidRDefault="00750085" w:rsidP="00750085">
            <w:pPr>
              <w:rPr>
                <w:sz w:val="20"/>
                <w:szCs w:val="20"/>
              </w:rPr>
            </w:pPr>
            <w:r>
              <w:rPr>
                <w:sz w:val="20"/>
                <w:szCs w:val="20"/>
              </w:rPr>
              <w:t>FONR, “Charting a Path to Achieve Health Equity: Box 3-4, “Agenda for Nursing Health Services Research,” p. 92.</w:t>
            </w:r>
          </w:p>
          <w:p w14:paraId="7E8E1549" w14:textId="2BD394DF" w:rsidR="00750085" w:rsidRDefault="00750085" w:rsidP="00750085">
            <w:pPr>
              <w:rPr>
                <w:sz w:val="20"/>
                <w:szCs w:val="20"/>
              </w:rPr>
            </w:pPr>
          </w:p>
          <w:p w14:paraId="75894920" w14:textId="2E6C637A" w:rsidR="00420220" w:rsidRDefault="00420220" w:rsidP="00420220">
            <w:pPr>
              <w:rPr>
                <w:sz w:val="20"/>
                <w:szCs w:val="20"/>
              </w:rPr>
            </w:pPr>
            <w:r w:rsidRPr="00D80839">
              <w:rPr>
                <w:sz w:val="20"/>
                <w:szCs w:val="20"/>
              </w:rPr>
              <w:t>FONR, “Educating Nurses for the Future,” p</w:t>
            </w:r>
            <w:r>
              <w:rPr>
                <w:sz w:val="20"/>
                <w:szCs w:val="20"/>
              </w:rPr>
              <w:t>p</w:t>
            </w:r>
            <w:r w:rsidRPr="00D80839">
              <w:rPr>
                <w:sz w:val="20"/>
                <w:szCs w:val="20"/>
              </w:rPr>
              <w:t>. 195</w:t>
            </w:r>
            <w:r>
              <w:rPr>
                <w:sz w:val="20"/>
                <w:szCs w:val="20"/>
              </w:rPr>
              <w:t>-197</w:t>
            </w:r>
            <w:r w:rsidRPr="00D80839">
              <w:rPr>
                <w:sz w:val="20"/>
                <w:szCs w:val="20"/>
              </w:rPr>
              <w:t>.</w:t>
            </w:r>
          </w:p>
          <w:p w14:paraId="0F310EF9" w14:textId="68181D27" w:rsidR="00420220" w:rsidRDefault="00420220" w:rsidP="00420220">
            <w:pPr>
              <w:rPr>
                <w:sz w:val="20"/>
                <w:szCs w:val="20"/>
              </w:rPr>
            </w:pPr>
          </w:p>
          <w:p w14:paraId="54B6EDFD" w14:textId="77777777" w:rsidR="00420220" w:rsidRDefault="00420220" w:rsidP="00420220">
            <w:pPr>
              <w:rPr>
                <w:sz w:val="20"/>
                <w:szCs w:val="20"/>
              </w:rPr>
            </w:pPr>
            <w:r w:rsidRPr="00D80839">
              <w:rPr>
                <w:sz w:val="20"/>
                <w:szCs w:val="20"/>
              </w:rPr>
              <w:t>FONR, “Educating Nurses for the Future,” p</w:t>
            </w:r>
            <w:r>
              <w:rPr>
                <w:sz w:val="20"/>
                <w:szCs w:val="20"/>
              </w:rPr>
              <w:t>p</w:t>
            </w:r>
            <w:r w:rsidRPr="00D80839">
              <w:rPr>
                <w:sz w:val="20"/>
                <w:szCs w:val="20"/>
              </w:rPr>
              <w:t>. 195</w:t>
            </w:r>
            <w:r>
              <w:rPr>
                <w:sz w:val="20"/>
                <w:szCs w:val="20"/>
              </w:rPr>
              <w:t>-197</w:t>
            </w:r>
            <w:r w:rsidRPr="00D80839">
              <w:rPr>
                <w:sz w:val="20"/>
                <w:szCs w:val="20"/>
              </w:rPr>
              <w:t>.</w:t>
            </w:r>
          </w:p>
          <w:p w14:paraId="002351F0" w14:textId="08D4DF13" w:rsidR="00420220" w:rsidRDefault="00420220" w:rsidP="00420220">
            <w:pPr>
              <w:rPr>
                <w:sz w:val="20"/>
                <w:szCs w:val="20"/>
              </w:rPr>
            </w:pPr>
          </w:p>
          <w:p w14:paraId="39B6723C" w14:textId="6B8BAAE9" w:rsidR="00420220" w:rsidRDefault="00420220" w:rsidP="00420220">
            <w:pPr>
              <w:rPr>
                <w:sz w:val="20"/>
                <w:szCs w:val="20"/>
              </w:rPr>
            </w:pPr>
            <w:r w:rsidRPr="00D80839">
              <w:rPr>
                <w:sz w:val="20"/>
                <w:szCs w:val="20"/>
              </w:rPr>
              <w:t>FONR, “Educating Nurses for the Future,”</w:t>
            </w:r>
            <w:r>
              <w:rPr>
                <w:sz w:val="20"/>
                <w:szCs w:val="20"/>
              </w:rPr>
              <w:t xml:space="preserve"> Box 7-5, “Highlights from the Seattle Townhall on Technology and Health Equity and Implications for Nursing Education,”</w:t>
            </w:r>
            <w:r w:rsidRPr="00D80839">
              <w:rPr>
                <w:sz w:val="20"/>
                <w:szCs w:val="20"/>
              </w:rPr>
              <w:t xml:space="preserve"> p.</w:t>
            </w:r>
            <w:r>
              <w:rPr>
                <w:sz w:val="20"/>
                <w:szCs w:val="20"/>
              </w:rPr>
              <w:t xml:space="preserve"> 210</w:t>
            </w:r>
          </w:p>
          <w:p w14:paraId="697E9F69" w14:textId="45737B91" w:rsidR="00420220" w:rsidRDefault="00420220" w:rsidP="00420220">
            <w:pPr>
              <w:rPr>
                <w:sz w:val="20"/>
                <w:szCs w:val="20"/>
              </w:rPr>
            </w:pPr>
            <w:r>
              <w:rPr>
                <w:sz w:val="20"/>
                <w:szCs w:val="20"/>
              </w:rPr>
              <w:t>210.</w:t>
            </w:r>
          </w:p>
          <w:p w14:paraId="2B390E86" w14:textId="77777777" w:rsidR="00750085" w:rsidRDefault="00750085" w:rsidP="00ED05BC">
            <w:pPr>
              <w:rPr>
                <w:sz w:val="20"/>
                <w:szCs w:val="20"/>
              </w:rPr>
            </w:pPr>
          </w:p>
          <w:p w14:paraId="1CDE8BDA" w14:textId="2EC73495" w:rsidR="00420220" w:rsidRPr="00750085" w:rsidRDefault="00420220" w:rsidP="00ED05BC">
            <w:pPr>
              <w:rPr>
                <w:sz w:val="20"/>
                <w:szCs w:val="20"/>
              </w:rPr>
            </w:pPr>
          </w:p>
        </w:tc>
        <w:tc>
          <w:tcPr>
            <w:tcW w:w="3414" w:type="dxa"/>
          </w:tcPr>
          <w:p w14:paraId="52AAA1C0" w14:textId="77777777" w:rsidR="002105D6" w:rsidRPr="00B104C1" w:rsidRDefault="00CA51C0" w:rsidP="00ED05BC">
            <w:pPr>
              <w:rPr>
                <w:rStyle w:val="Hyperlink"/>
                <w:sz w:val="20"/>
                <w:szCs w:val="20"/>
              </w:rPr>
            </w:pPr>
            <w:r w:rsidRPr="00B104C1">
              <w:rPr>
                <w:sz w:val="20"/>
                <w:szCs w:val="20"/>
              </w:rPr>
              <w:lastRenderedPageBreak/>
              <w:t xml:space="preserve">HP2030 Website, </w:t>
            </w:r>
            <w:hyperlink r:id="rId16" w:history="1">
              <w:r w:rsidRPr="00B104C1">
                <w:rPr>
                  <w:rStyle w:val="Hyperlink"/>
                  <w:sz w:val="20"/>
                  <w:szCs w:val="20"/>
                </w:rPr>
                <w:t>https://health.gov/healthypeople</w:t>
              </w:r>
            </w:hyperlink>
          </w:p>
          <w:p w14:paraId="2655A2AB" w14:textId="57CDF0F2" w:rsidR="00CA51C0" w:rsidRPr="00B104C1" w:rsidRDefault="00CA51C0" w:rsidP="00ED05BC">
            <w:pPr>
              <w:rPr>
                <w:rStyle w:val="Hyperlink"/>
                <w:sz w:val="20"/>
                <w:szCs w:val="20"/>
              </w:rPr>
            </w:pPr>
          </w:p>
          <w:p w14:paraId="12A165E2" w14:textId="71D38CE1" w:rsidR="00F1603F" w:rsidRPr="00B104C1" w:rsidRDefault="00F1603F" w:rsidP="00ED05BC">
            <w:pPr>
              <w:rPr>
                <w:rStyle w:val="Hyperlink"/>
                <w:color w:val="auto"/>
                <w:sz w:val="20"/>
                <w:szCs w:val="20"/>
                <w:u w:val="none"/>
              </w:rPr>
            </w:pPr>
            <w:r w:rsidRPr="00B104C1">
              <w:rPr>
                <w:rStyle w:val="Hyperlink"/>
                <w:color w:val="auto"/>
                <w:sz w:val="20"/>
                <w:szCs w:val="20"/>
                <w:u w:val="none"/>
              </w:rPr>
              <w:t xml:space="preserve">In a search of this website, 52 results from a search for the term “Informatics” reflected a focus on ways to use informatics to accomplish </w:t>
            </w:r>
            <w:r w:rsidRPr="00B104C1">
              <w:rPr>
                <w:rStyle w:val="Hyperlink"/>
                <w:color w:val="auto"/>
                <w:sz w:val="20"/>
                <w:szCs w:val="20"/>
                <w:u w:val="none"/>
              </w:rPr>
              <w:lastRenderedPageBreak/>
              <w:t>HP2030 research-related goals. One example (see below) indicated a desire to see enhanced use and capabilities of informatics in public health.</w:t>
            </w:r>
          </w:p>
          <w:p w14:paraId="6F66F1BF" w14:textId="77777777" w:rsidR="00F1603F" w:rsidRPr="00B104C1" w:rsidRDefault="00F1603F" w:rsidP="00ED05BC">
            <w:pPr>
              <w:rPr>
                <w:rStyle w:val="Hyperlink"/>
                <w:color w:val="auto"/>
                <w:sz w:val="20"/>
                <w:szCs w:val="20"/>
                <w:u w:val="none"/>
              </w:rPr>
            </w:pPr>
          </w:p>
          <w:p w14:paraId="67C90456" w14:textId="77777777" w:rsidR="00CA51C0" w:rsidRPr="00B104C1" w:rsidRDefault="00CA51C0" w:rsidP="00ED05BC">
            <w:pPr>
              <w:rPr>
                <w:rStyle w:val="Hyperlink"/>
                <w:color w:val="auto"/>
                <w:sz w:val="20"/>
                <w:szCs w:val="20"/>
                <w:u w:val="none"/>
              </w:rPr>
            </w:pPr>
            <w:r w:rsidRPr="00B104C1">
              <w:rPr>
                <w:rStyle w:val="Hyperlink"/>
                <w:color w:val="auto"/>
                <w:sz w:val="20"/>
                <w:szCs w:val="20"/>
                <w:u w:val="none"/>
              </w:rPr>
              <w:t>“Enhance the use and capabilities of Informatics in Public Health</w:t>
            </w:r>
            <w:r w:rsidR="00F1603F" w:rsidRPr="00B104C1">
              <w:rPr>
                <w:rStyle w:val="Hyperlink"/>
                <w:color w:val="auto"/>
                <w:sz w:val="20"/>
                <w:szCs w:val="20"/>
                <w:u w:val="none"/>
              </w:rPr>
              <w:t>,</w:t>
            </w:r>
            <w:r w:rsidRPr="00B104C1">
              <w:rPr>
                <w:rStyle w:val="Hyperlink"/>
                <w:color w:val="auto"/>
                <w:sz w:val="20"/>
                <w:szCs w:val="20"/>
                <w:u w:val="none"/>
              </w:rPr>
              <w:t xml:space="preserve">” </w:t>
            </w:r>
            <w:r w:rsidR="00F1603F" w:rsidRPr="00B104C1">
              <w:rPr>
                <w:rStyle w:val="Hyperlink"/>
                <w:color w:val="auto"/>
                <w:sz w:val="20"/>
                <w:szCs w:val="20"/>
                <w:u w:val="none"/>
              </w:rPr>
              <w:t xml:space="preserve">HP2030 </w:t>
            </w:r>
            <w:r w:rsidRPr="00B104C1">
              <w:rPr>
                <w:rStyle w:val="Hyperlink"/>
                <w:color w:val="auto"/>
                <w:sz w:val="20"/>
                <w:szCs w:val="20"/>
                <w:u w:val="none"/>
              </w:rPr>
              <w:t>Research objective.</w:t>
            </w:r>
          </w:p>
          <w:p w14:paraId="289E4904" w14:textId="77777777" w:rsidR="00F1603F" w:rsidRPr="00B104C1" w:rsidRDefault="00F1603F" w:rsidP="00ED05BC">
            <w:pPr>
              <w:rPr>
                <w:sz w:val="20"/>
                <w:szCs w:val="20"/>
              </w:rPr>
            </w:pPr>
          </w:p>
          <w:p w14:paraId="4922CA8F" w14:textId="0C538D72" w:rsidR="00F1603F" w:rsidRPr="00B104C1" w:rsidRDefault="00F1603F" w:rsidP="00ED05BC">
            <w:pPr>
              <w:rPr>
                <w:sz w:val="20"/>
                <w:szCs w:val="20"/>
              </w:rPr>
            </w:pPr>
            <w:r w:rsidRPr="00B104C1">
              <w:rPr>
                <w:sz w:val="20"/>
                <w:szCs w:val="20"/>
              </w:rPr>
              <w:t>A search for the phrase “Healthcare Technologies” returned 68 results</w:t>
            </w:r>
            <w:r w:rsidR="00B104C1" w:rsidRPr="00B104C1">
              <w:rPr>
                <w:sz w:val="20"/>
                <w:szCs w:val="20"/>
              </w:rPr>
              <w:t>, including confirmation of a HP2030 workgroup: “Health Communication and Health Information Workgroup.”</w:t>
            </w:r>
            <w:r w:rsidRPr="00B104C1">
              <w:rPr>
                <w:sz w:val="20"/>
                <w:szCs w:val="20"/>
              </w:rPr>
              <w:t xml:space="preserve"> </w:t>
            </w:r>
            <w:r w:rsidR="00B104C1" w:rsidRPr="00B104C1">
              <w:rPr>
                <w:sz w:val="20"/>
                <w:szCs w:val="20"/>
              </w:rPr>
              <w:t>Results also</w:t>
            </w:r>
            <w:r w:rsidRPr="00B104C1">
              <w:rPr>
                <w:sz w:val="20"/>
                <w:szCs w:val="20"/>
              </w:rPr>
              <w:t xml:space="preserve"> indicated a focus on helping patients/clients, and care providers to better-use technology to improve health outcomes, for example:</w:t>
            </w:r>
          </w:p>
          <w:p w14:paraId="125C9C3E" w14:textId="299A3ABD" w:rsidR="00F1603F" w:rsidRPr="00B104C1" w:rsidRDefault="00F1603F" w:rsidP="00F1603F">
            <w:pPr>
              <w:pStyle w:val="ListParagraph"/>
              <w:numPr>
                <w:ilvl w:val="0"/>
                <w:numId w:val="6"/>
              </w:numPr>
              <w:rPr>
                <w:rStyle w:val="Strong"/>
                <w:rFonts w:cstheme="minorHAnsi"/>
                <w:sz w:val="20"/>
                <w:szCs w:val="20"/>
              </w:rPr>
            </w:pPr>
            <w:r w:rsidRPr="00B104C1">
              <w:rPr>
                <w:rStyle w:val="Strong"/>
                <w:rFonts w:cstheme="minorHAnsi"/>
                <w:b w:val="0"/>
                <w:bCs w:val="0"/>
                <w:color w:val="0D1941"/>
                <w:sz w:val="20"/>
                <w:szCs w:val="20"/>
              </w:rPr>
              <w:t>Increase proportion of adults who use information technology (IT) to track health care data or communicate with providers</w:t>
            </w:r>
            <w:r w:rsidR="00B104C1" w:rsidRPr="00B104C1">
              <w:rPr>
                <w:rStyle w:val="Strong"/>
                <w:rFonts w:cstheme="minorHAnsi"/>
                <w:b w:val="0"/>
                <w:bCs w:val="0"/>
                <w:color w:val="0D1941"/>
                <w:sz w:val="20"/>
                <w:szCs w:val="20"/>
              </w:rPr>
              <w:t>-</w:t>
            </w:r>
            <w:r w:rsidR="00B104C1" w:rsidRPr="00B104C1">
              <w:rPr>
                <w:rStyle w:val="Strong"/>
                <w:rFonts w:cstheme="minorHAnsi"/>
                <w:color w:val="0D1941"/>
                <w:sz w:val="20"/>
                <w:szCs w:val="20"/>
              </w:rPr>
              <w:t xml:space="preserve"> </w:t>
            </w:r>
            <w:r w:rsidR="00B104C1" w:rsidRPr="00B104C1">
              <w:rPr>
                <w:rStyle w:val="Strong"/>
                <w:rFonts w:cstheme="minorHAnsi"/>
                <w:b w:val="0"/>
                <w:bCs w:val="0"/>
                <w:color w:val="0D1941"/>
                <w:sz w:val="20"/>
                <w:szCs w:val="20"/>
              </w:rPr>
              <w:t>HC/HIT-07</w:t>
            </w:r>
          </w:p>
          <w:p w14:paraId="782E0EDE" w14:textId="3652A732" w:rsidR="00F1603F" w:rsidRPr="00B104C1" w:rsidRDefault="00B104C1" w:rsidP="00F1603F">
            <w:pPr>
              <w:pStyle w:val="ListParagraph"/>
              <w:numPr>
                <w:ilvl w:val="0"/>
                <w:numId w:val="6"/>
              </w:numPr>
              <w:rPr>
                <w:rStyle w:val="Strong"/>
                <w:rFonts w:cstheme="minorHAnsi"/>
                <w:b w:val="0"/>
                <w:bCs w:val="0"/>
                <w:sz w:val="20"/>
                <w:szCs w:val="20"/>
              </w:rPr>
            </w:pPr>
            <w:r w:rsidRPr="00B104C1">
              <w:rPr>
                <w:rStyle w:val="Strong"/>
                <w:rFonts w:cstheme="minorHAnsi"/>
                <w:b w:val="0"/>
                <w:bCs w:val="0"/>
                <w:color w:val="0D1941"/>
                <w:sz w:val="20"/>
                <w:szCs w:val="20"/>
              </w:rPr>
              <w:t>Reduce the proportion of persons who are unable to obtain or delayed in obtaining necessary medical care-AHC-04</w:t>
            </w:r>
          </w:p>
          <w:p w14:paraId="62278DEE" w14:textId="3D5E10BE" w:rsidR="00B104C1" w:rsidRPr="008A5CD5" w:rsidRDefault="00530E78" w:rsidP="008A5CD5">
            <w:pPr>
              <w:pStyle w:val="ListParagraph"/>
              <w:numPr>
                <w:ilvl w:val="0"/>
                <w:numId w:val="6"/>
              </w:numPr>
              <w:rPr>
                <w:rFonts w:cstheme="minorHAnsi"/>
                <w:sz w:val="20"/>
                <w:szCs w:val="20"/>
              </w:rPr>
            </w:pPr>
            <w:hyperlink r:id="rId17" w:history="1">
              <w:r w:rsidR="00B104C1" w:rsidRPr="00B104C1">
                <w:rPr>
                  <w:rStyle w:val="Hyperlink"/>
                  <w:rFonts w:cstheme="minorHAnsi"/>
                  <w:color w:val="auto"/>
                  <w:sz w:val="20"/>
                  <w:szCs w:val="20"/>
                  <w:u w:val="none"/>
                </w:rPr>
                <w:t>Increase the health literacy of the population — HC/HIT</w:t>
              </w:r>
              <w:r w:rsidR="00B104C1" w:rsidRPr="00B104C1">
                <w:rPr>
                  <w:rStyle w:val="Hyperlink"/>
                  <w:rFonts w:cstheme="minorHAnsi"/>
                  <w:color w:val="auto"/>
                  <w:sz w:val="20"/>
                  <w:szCs w:val="20"/>
                  <w:u w:val="none"/>
                </w:rPr>
                <w:noBreakHyphen/>
                <w:t>R01</w:t>
              </w:r>
            </w:hyperlink>
          </w:p>
          <w:p w14:paraId="5D5F4A47" w14:textId="77777777" w:rsidR="00F1603F" w:rsidRPr="00B104C1" w:rsidRDefault="00F1603F" w:rsidP="00ED05BC">
            <w:pPr>
              <w:rPr>
                <w:sz w:val="20"/>
                <w:szCs w:val="20"/>
              </w:rPr>
            </w:pPr>
          </w:p>
          <w:p w14:paraId="20A7EB76" w14:textId="56C1A18C" w:rsidR="00F1603F" w:rsidRPr="00B104C1" w:rsidRDefault="00F1603F" w:rsidP="00ED05BC">
            <w:pPr>
              <w:rPr>
                <w:sz w:val="20"/>
                <w:szCs w:val="20"/>
              </w:rPr>
            </w:pPr>
          </w:p>
        </w:tc>
      </w:tr>
      <w:tr w:rsidR="00BC711C" w14:paraId="71998A76" w14:textId="77777777" w:rsidTr="00BC711C">
        <w:tc>
          <w:tcPr>
            <w:tcW w:w="3036" w:type="dxa"/>
          </w:tcPr>
          <w:p w14:paraId="6A39B0CD" w14:textId="1B8C84F1" w:rsidR="002105D6" w:rsidRPr="008A5CD5" w:rsidRDefault="008A5CD5" w:rsidP="00ED05BC">
            <w:pPr>
              <w:rPr>
                <w:b/>
                <w:bCs/>
                <w:sz w:val="24"/>
                <w:szCs w:val="24"/>
              </w:rPr>
            </w:pPr>
            <w:r>
              <w:rPr>
                <w:b/>
                <w:bCs/>
                <w:sz w:val="24"/>
                <w:szCs w:val="24"/>
              </w:rPr>
              <w:lastRenderedPageBreak/>
              <w:t>Professionalism</w:t>
            </w:r>
          </w:p>
        </w:tc>
        <w:tc>
          <w:tcPr>
            <w:tcW w:w="3588" w:type="dxa"/>
          </w:tcPr>
          <w:p w14:paraId="6A7A0B14" w14:textId="77777777" w:rsidR="008A5CD5" w:rsidRPr="00ED0986" w:rsidRDefault="008A5CD5" w:rsidP="008A5CD5">
            <w:pPr>
              <w:autoSpaceDE w:val="0"/>
              <w:autoSpaceDN w:val="0"/>
              <w:adjustRightInd w:val="0"/>
              <w:rPr>
                <w:rFonts w:ascii="Calibri" w:hAnsi="Calibri" w:cs="Calibri"/>
                <w:sz w:val="20"/>
                <w:szCs w:val="20"/>
              </w:rPr>
            </w:pPr>
            <w:r w:rsidRPr="004E7D92">
              <w:rPr>
                <w:rFonts w:ascii="Calibri" w:hAnsi="Calibri" w:cs="Calibri"/>
                <w:b/>
                <w:bCs/>
                <w:sz w:val="24"/>
                <w:szCs w:val="24"/>
              </w:rPr>
              <w:t>Domain 9: Professionalism</w:t>
            </w:r>
            <w:r w:rsidRPr="00ED0986">
              <w:rPr>
                <w:rFonts w:ascii="Calibri" w:hAnsi="Calibri" w:cs="Calibri"/>
                <w:sz w:val="20"/>
                <w:szCs w:val="20"/>
              </w:rPr>
              <w:t xml:space="preserve"> involves the formation and cultivation of a sustainable professional identity, including accountability, perspective, collaborative disposition, and comportment, that reflects nursing’s</w:t>
            </w:r>
          </w:p>
          <w:p w14:paraId="6EC8922E" w14:textId="78D4CFD0" w:rsidR="002105D6" w:rsidRDefault="008A5CD5" w:rsidP="008A5CD5">
            <w:pPr>
              <w:rPr>
                <w:rFonts w:ascii="Calibri" w:hAnsi="Calibri" w:cs="Calibri"/>
                <w:sz w:val="20"/>
                <w:szCs w:val="20"/>
              </w:rPr>
            </w:pPr>
            <w:r w:rsidRPr="00ED0986">
              <w:rPr>
                <w:rFonts w:ascii="Calibri" w:hAnsi="Calibri" w:cs="Calibri"/>
                <w:sz w:val="20"/>
                <w:szCs w:val="20"/>
              </w:rPr>
              <w:t>characteristics and values. (AACN Essentials Domain 9, p. 49).</w:t>
            </w:r>
          </w:p>
          <w:p w14:paraId="7FFA69AC" w14:textId="77777777" w:rsidR="008A5CD5" w:rsidRPr="00666E81" w:rsidRDefault="008A5CD5" w:rsidP="008A5CD5">
            <w:pPr>
              <w:rPr>
                <w:rFonts w:ascii="Calibri" w:hAnsi="Calibri" w:cs="Calibri"/>
                <w:sz w:val="20"/>
                <w:szCs w:val="20"/>
              </w:rPr>
            </w:pPr>
          </w:p>
          <w:p w14:paraId="42409545" w14:textId="1F9CE014" w:rsidR="002105D6" w:rsidRPr="00666E81" w:rsidRDefault="002105D6" w:rsidP="00ED05BC">
            <w:pPr>
              <w:rPr>
                <w:sz w:val="20"/>
                <w:szCs w:val="20"/>
              </w:rPr>
            </w:pPr>
            <w:r w:rsidRPr="00666E81">
              <w:rPr>
                <w:rFonts w:ascii="Calibri" w:hAnsi="Calibri" w:cs="Calibri"/>
                <w:sz w:val="20"/>
                <w:szCs w:val="20"/>
              </w:rPr>
              <w:t>See AACN Essentials Document for further information and specific listing of skills and competencies.</w:t>
            </w:r>
          </w:p>
        </w:tc>
        <w:tc>
          <w:tcPr>
            <w:tcW w:w="3277" w:type="dxa"/>
          </w:tcPr>
          <w:p w14:paraId="7F2F541A" w14:textId="77777777" w:rsidR="002105D6" w:rsidRPr="004976C9" w:rsidRDefault="006F1AEE" w:rsidP="00ED05BC">
            <w:pPr>
              <w:rPr>
                <w:sz w:val="20"/>
                <w:szCs w:val="20"/>
              </w:rPr>
            </w:pPr>
            <w:r w:rsidRPr="004976C9">
              <w:rPr>
                <w:sz w:val="20"/>
                <w:szCs w:val="20"/>
              </w:rPr>
              <w:t>FONR, “Educating Nurses for the Future</w:t>
            </w:r>
            <w:r w:rsidR="004976C9" w:rsidRPr="004976C9">
              <w:rPr>
                <w:sz w:val="20"/>
                <w:szCs w:val="20"/>
              </w:rPr>
              <w:t>,” p. 196, 3</w:t>
            </w:r>
            <w:r w:rsidR="004976C9" w:rsidRPr="004976C9">
              <w:rPr>
                <w:sz w:val="20"/>
                <w:szCs w:val="20"/>
                <w:vertAlign w:val="superscript"/>
              </w:rPr>
              <w:t>rd</w:t>
            </w:r>
            <w:r w:rsidR="004976C9" w:rsidRPr="004976C9">
              <w:rPr>
                <w:sz w:val="20"/>
                <w:szCs w:val="20"/>
              </w:rPr>
              <w:t xml:space="preserve"> paragraph.</w:t>
            </w:r>
          </w:p>
          <w:p w14:paraId="6C512D04" w14:textId="77777777" w:rsidR="004976C9" w:rsidRPr="004976C9" w:rsidRDefault="004976C9" w:rsidP="00ED05BC">
            <w:pPr>
              <w:rPr>
                <w:sz w:val="20"/>
                <w:szCs w:val="20"/>
              </w:rPr>
            </w:pPr>
          </w:p>
          <w:p w14:paraId="5EF3E460" w14:textId="77777777" w:rsidR="004976C9" w:rsidRPr="004976C9" w:rsidRDefault="004976C9" w:rsidP="00ED05BC">
            <w:pPr>
              <w:rPr>
                <w:sz w:val="20"/>
                <w:szCs w:val="20"/>
              </w:rPr>
            </w:pPr>
            <w:r w:rsidRPr="004976C9">
              <w:rPr>
                <w:sz w:val="20"/>
                <w:szCs w:val="20"/>
              </w:rPr>
              <w:t>FONR, “Disaster Preparedness and Public Health Emergencies,” p. 264, 2</w:t>
            </w:r>
            <w:r w:rsidRPr="004976C9">
              <w:rPr>
                <w:sz w:val="20"/>
                <w:szCs w:val="20"/>
                <w:vertAlign w:val="superscript"/>
              </w:rPr>
              <w:t xml:space="preserve">nd </w:t>
            </w:r>
            <w:r w:rsidRPr="004976C9">
              <w:rPr>
                <w:sz w:val="20"/>
                <w:szCs w:val="20"/>
              </w:rPr>
              <w:t>paragraph.</w:t>
            </w:r>
          </w:p>
          <w:p w14:paraId="3BAC8147" w14:textId="77777777" w:rsidR="004976C9" w:rsidRPr="004976C9" w:rsidRDefault="004976C9" w:rsidP="00ED05BC">
            <w:pPr>
              <w:rPr>
                <w:sz w:val="20"/>
                <w:szCs w:val="20"/>
              </w:rPr>
            </w:pPr>
          </w:p>
          <w:p w14:paraId="2476A660" w14:textId="77777777" w:rsidR="004976C9" w:rsidRPr="004976C9" w:rsidRDefault="004976C9" w:rsidP="00ED05BC">
            <w:pPr>
              <w:rPr>
                <w:sz w:val="20"/>
                <w:szCs w:val="20"/>
              </w:rPr>
            </w:pPr>
            <w:r w:rsidRPr="004976C9">
              <w:rPr>
                <w:sz w:val="20"/>
                <w:szCs w:val="20"/>
              </w:rPr>
              <w:t>FONR, “Charting a Path to Health Equity,” p. 330, last paragraph on the page.</w:t>
            </w:r>
          </w:p>
          <w:p w14:paraId="0FA34313" w14:textId="77777777" w:rsidR="004976C9" w:rsidRPr="004976C9" w:rsidRDefault="004976C9" w:rsidP="00ED05BC">
            <w:pPr>
              <w:rPr>
                <w:sz w:val="20"/>
                <w:szCs w:val="20"/>
              </w:rPr>
            </w:pPr>
          </w:p>
          <w:p w14:paraId="0B24526E" w14:textId="02D74DD9" w:rsidR="004976C9" w:rsidRPr="004976C9" w:rsidRDefault="004976C9" w:rsidP="004976C9">
            <w:pPr>
              <w:rPr>
                <w:sz w:val="20"/>
                <w:szCs w:val="20"/>
              </w:rPr>
            </w:pPr>
            <w:r w:rsidRPr="004976C9">
              <w:rPr>
                <w:sz w:val="20"/>
                <w:szCs w:val="20"/>
              </w:rPr>
              <w:t>FONR, “Charting a Path to Health Equity,” p. 331, 4th paragraph on the page.</w:t>
            </w:r>
          </w:p>
          <w:p w14:paraId="548D040E" w14:textId="77777777" w:rsidR="004976C9" w:rsidRDefault="004976C9" w:rsidP="004976C9"/>
          <w:p w14:paraId="42AB4804" w14:textId="76D9767B" w:rsidR="004976C9" w:rsidRDefault="004976C9" w:rsidP="00ED05BC">
            <w:r>
              <w:t xml:space="preserve"> </w:t>
            </w:r>
          </w:p>
        </w:tc>
        <w:tc>
          <w:tcPr>
            <w:tcW w:w="3414" w:type="dxa"/>
          </w:tcPr>
          <w:p w14:paraId="1FEB7EC8" w14:textId="7E0858D8" w:rsidR="00A07992" w:rsidRPr="00A07992" w:rsidRDefault="00A07992" w:rsidP="00A07992">
            <w:pPr>
              <w:rPr>
                <w:rStyle w:val="Hyperlink"/>
                <w:sz w:val="20"/>
                <w:szCs w:val="20"/>
              </w:rPr>
            </w:pPr>
            <w:r w:rsidRPr="00A07992">
              <w:rPr>
                <w:sz w:val="20"/>
                <w:szCs w:val="20"/>
              </w:rPr>
              <w:t xml:space="preserve">A search of the term “Professionalism” on the HP2030 Website, </w:t>
            </w:r>
            <w:hyperlink r:id="rId18" w:history="1">
              <w:r w:rsidRPr="00A07992">
                <w:rPr>
                  <w:rStyle w:val="Hyperlink"/>
                  <w:sz w:val="20"/>
                  <w:szCs w:val="20"/>
                </w:rPr>
                <w:t>https://health.gov/healthypeople</w:t>
              </w:r>
            </w:hyperlink>
          </w:p>
          <w:p w14:paraId="424A4E51" w14:textId="17162123" w:rsidR="002105D6" w:rsidRDefault="00A07992" w:rsidP="00ED05BC">
            <w:pPr>
              <w:rPr>
                <w:sz w:val="20"/>
                <w:szCs w:val="20"/>
              </w:rPr>
            </w:pPr>
            <w:r w:rsidRPr="00A07992">
              <w:rPr>
                <w:sz w:val="20"/>
                <w:szCs w:val="20"/>
              </w:rPr>
              <w:t>Resulted in 54 results that were focused on enhancing continuing education for healthcare professionals</w:t>
            </w:r>
            <w:r w:rsidR="004976C9">
              <w:rPr>
                <w:sz w:val="20"/>
                <w:szCs w:val="20"/>
              </w:rPr>
              <w:t xml:space="preserve"> to achieve better outcomes</w:t>
            </w:r>
            <w:r w:rsidRPr="00A07992">
              <w:rPr>
                <w:sz w:val="20"/>
                <w:szCs w:val="20"/>
              </w:rPr>
              <w:t>.</w:t>
            </w:r>
            <w:r w:rsidR="003C127B">
              <w:rPr>
                <w:sz w:val="20"/>
                <w:szCs w:val="20"/>
              </w:rPr>
              <w:t xml:space="preserve"> This aligns with AACN Essentials, Domain 9, Competency 9.3e, and 9.3o. </w:t>
            </w:r>
          </w:p>
          <w:p w14:paraId="44F36EDD" w14:textId="77777777" w:rsidR="003C127B" w:rsidRDefault="003C127B" w:rsidP="00ED05BC"/>
          <w:p w14:paraId="3FF69406" w14:textId="6F843284" w:rsidR="003C127B" w:rsidRPr="003C127B" w:rsidRDefault="003C127B" w:rsidP="00ED05BC">
            <w:pPr>
              <w:rPr>
                <w:sz w:val="20"/>
                <w:szCs w:val="20"/>
              </w:rPr>
            </w:pPr>
            <w:r w:rsidRPr="003C127B">
              <w:rPr>
                <w:sz w:val="20"/>
                <w:szCs w:val="20"/>
              </w:rPr>
              <w:t xml:space="preserve">The AACN Essentials, Domain 10, competency 10.2c also mentions committing to personal and professional development, which aligns with the </w:t>
            </w:r>
            <w:r>
              <w:rPr>
                <w:sz w:val="20"/>
                <w:szCs w:val="20"/>
              </w:rPr>
              <w:t xml:space="preserve">“professionalism” search </w:t>
            </w:r>
            <w:r w:rsidRPr="003C127B">
              <w:rPr>
                <w:sz w:val="20"/>
                <w:szCs w:val="20"/>
              </w:rPr>
              <w:t>results on the HP2030 website.</w:t>
            </w:r>
          </w:p>
        </w:tc>
      </w:tr>
      <w:tr w:rsidR="00BC711C" w14:paraId="182F6A98" w14:textId="77777777" w:rsidTr="00BC711C">
        <w:tc>
          <w:tcPr>
            <w:tcW w:w="3036" w:type="dxa"/>
          </w:tcPr>
          <w:p w14:paraId="41A0EB70" w14:textId="4205B1F8" w:rsidR="004976C9" w:rsidRPr="009408A1" w:rsidRDefault="003F5FEE" w:rsidP="004976C9">
            <w:pPr>
              <w:autoSpaceDE w:val="0"/>
              <w:autoSpaceDN w:val="0"/>
              <w:adjustRightInd w:val="0"/>
              <w:rPr>
                <w:sz w:val="24"/>
                <w:szCs w:val="24"/>
              </w:rPr>
            </w:pPr>
            <w:r w:rsidRPr="009408A1">
              <w:rPr>
                <w:rFonts w:ascii="Calibri" w:hAnsi="Calibri" w:cs="Calibri"/>
                <w:b/>
                <w:bCs/>
                <w:sz w:val="24"/>
                <w:szCs w:val="24"/>
              </w:rPr>
              <w:t xml:space="preserve">Leadership </w:t>
            </w:r>
          </w:p>
          <w:p w14:paraId="2A61BA5E" w14:textId="3DB409E9" w:rsidR="002105D6" w:rsidRPr="003F5FEE" w:rsidRDefault="002105D6" w:rsidP="00ED05BC">
            <w:pPr>
              <w:rPr>
                <w:sz w:val="20"/>
                <w:szCs w:val="20"/>
              </w:rPr>
            </w:pPr>
          </w:p>
        </w:tc>
        <w:tc>
          <w:tcPr>
            <w:tcW w:w="3588" w:type="dxa"/>
          </w:tcPr>
          <w:p w14:paraId="0C91DE20" w14:textId="0E0BC790" w:rsidR="002105D6" w:rsidRPr="004976C9" w:rsidRDefault="004976C9" w:rsidP="004976C9">
            <w:pPr>
              <w:autoSpaceDE w:val="0"/>
              <w:autoSpaceDN w:val="0"/>
              <w:adjustRightInd w:val="0"/>
              <w:rPr>
                <w:rFonts w:ascii="Calibri" w:hAnsi="Calibri" w:cs="Calibri"/>
                <w:sz w:val="20"/>
                <w:szCs w:val="20"/>
              </w:rPr>
            </w:pPr>
            <w:r w:rsidRPr="004E7D92">
              <w:rPr>
                <w:rFonts w:ascii="Calibri" w:hAnsi="Calibri" w:cs="Calibri"/>
                <w:b/>
                <w:bCs/>
                <w:sz w:val="24"/>
                <w:szCs w:val="24"/>
              </w:rPr>
              <w:t>Domain 10: Personal, Professional, and Leadership Development</w:t>
            </w:r>
            <w:r w:rsidRPr="004976C9">
              <w:rPr>
                <w:rFonts w:ascii="Calibri" w:hAnsi="Calibri" w:cs="Calibri"/>
                <w:b/>
                <w:bCs/>
                <w:sz w:val="20"/>
                <w:szCs w:val="20"/>
              </w:rPr>
              <w:t xml:space="preserve"> </w:t>
            </w:r>
            <w:r w:rsidRPr="004976C9">
              <w:rPr>
                <w:rFonts w:ascii="Calibri" w:hAnsi="Calibri" w:cs="Calibri"/>
                <w:sz w:val="20"/>
                <w:szCs w:val="20"/>
              </w:rPr>
              <w:t>involves participation in activities and self-reflection that fosters personal health, resilience, and well-being; contributes to lifelong learning; and supports the acquisition of nursing expertise and the assertion of leadership, (AACN Essentials, Domain 10, p. 53-</w:t>
            </w:r>
            <w:r>
              <w:rPr>
                <w:rFonts w:ascii="Calibri" w:hAnsi="Calibri" w:cs="Calibri"/>
                <w:sz w:val="20"/>
                <w:szCs w:val="20"/>
              </w:rPr>
              <w:t>54.</w:t>
            </w:r>
          </w:p>
          <w:p w14:paraId="38B93EE1" w14:textId="77777777" w:rsidR="002105D6" w:rsidRPr="004976C9" w:rsidRDefault="002105D6" w:rsidP="00ED05BC">
            <w:pPr>
              <w:rPr>
                <w:rFonts w:ascii="Calibri" w:hAnsi="Calibri" w:cs="Calibri"/>
                <w:sz w:val="20"/>
                <w:szCs w:val="20"/>
              </w:rPr>
            </w:pPr>
          </w:p>
          <w:p w14:paraId="02377867" w14:textId="35AE1388" w:rsidR="002105D6" w:rsidRPr="003F5FEE" w:rsidRDefault="002105D6" w:rsidP="00ED05BC">
            <w:pPr>
              <w:rPr>
                <w:sz w:val="20"/>
                <w:szCs w:val="20"/>
              </w:rPr>
            </w:pPr>
            <w:r w:rsidRPr="003F5FEE">
              <w:rPr>
                <w:rFonts w:ascii="Calibri" w:hAnsi="Calibri" w:cs="Calibri"/>
                <w:sz w:val="20"/>
                <w:szCs w:val="20"/>
              </w:rPr>
              <w:t>See AACN Essentials Document for further information and specific listing of skills and competencies.</w:t>
            </w:r>
          </w:p>
        </w:tc>
        <w:tc>
          <w:tcPr>
            <w:tcW w:w="3277" w:type="dxa"/>
          </w:tcPr>
          <w:p w14:paraId="5C8AE148" w14:textId="77777777" w:rsidR="002105D6" w:rsidRDefault="006239BD" w:rsidP="00ED05BC">
            <w:pPr>
              <w:rPr>
                <w:sz w:val="20"/>
                <w:szCs w:val="20"/>
              </w:rPr>
            </w:pPr>
            <w:r>
              <w:rPr>
                <w:sz w:val="20"/>
                <w:szCs w:val="20"/>
              </w:rPr>
              <w:t xml:space="preserve">The </w:t>
            </w:r>
            <w:r w:rsidR="004976C9">
              <w:rPr>
                <w:sz w:val="20"/>
                <w:szCs w:val="20"/>
              </w:rPr>
              <w:t>FONR</w:t>
            </w:r>
            <w:r>
              <w:rPr>
                <w:sz w:val="20"/>
                <w:szCs w:val="20"/>
              </w:rPr>
              <w:t xml:space="preserve"> is strongly focused on leadership skills and opportunities for nurses at all levels of education. </w:t>
            </w:r>
            <w:r w:rsidR="003203DD">
              <w:rPr>
                <w:sz w:val="20"/>
                <w:szCs w:val="20"/>
              </w:rPr>
              <w:t>A search of t</w:t>
            </w:r>
            <w:r>
              <w:rPr>
                <w:sz w:val="20"/>
                <w:szCs w:val="20"/>
              </w:rPr>
              <w:t>he term “</w:t>
            </w:r>
            <w:r w:rsidR="003203DD">
              <w:rPr>
                <w:sz w:val="20"/>
                <w:szCs w:val="20"/>
              </w:rPr>
              <w:t xml:space="preserve">Leadership” </w:t>
            </w:r>
            <w:r>
              <w:rPr>
                <w:sz w:val="20"/>
                <w:szCs w:val="20"/>
              </w:rPr>
              <w:t xml:space="preserve"> </w:t>
            </w:r>
            <w:r w:rsidR="003203DD">
              <w:rPr>
                <w:sz w:val="20"/>
                <w:szCs w:val="20"/>
              </w:rPr>
              <w:t>in this document yielded 222 incidents throughout the document. Here are selected examples that are especially pertinent to the AACN Essentials competencies:</w:t>
            </w:r>
          </w:p>
          <w:p w14:paraId="07592ED6" w14:textId="77777777" w:rsidR="003203DD" w:rsidRDefault="003203DD" w:rsidP="00ED05BC">
            <w:pPr>
              <w:rPr>
                <w:sz w:val="20"/>
                <w:szCs w:val="20"/>
              </w:rPr>
            </w:pPr>
          </w:p>
          <w:p w14:paraId="3402AC46" w14:textId="77777777" w:rsidR="00647FE2" w:rsidRDefault="00647FE2" w:rsidP="00ED05BC">
            <w:pPr>
              <w:rPr>
                <w:sz w:val="20"/>
                <w:szCs w:val="20"/>
              </w:rPr>
            </w:pPr>
          </w:p>
          <w:p w14:paraId="0DCFE163" w14:textId="2AADC774" w:rsidR="00647FE2" w:rsidRDefault="00647FE2" w:rsidP="00ED05BC">
            <w:pPr>
              <w:rPr>
                <w:sz w:val="20"/>
                <w:szCs w:val="20"/>
              </w:rPr>
            </w:pPr>
            <w:r>
              <w:rPr>
                <w:sz w:val="20"/>
                <w:szCs w:val="20"/>
              </w:rPr>
              <w:t>FONR, Chapter 9, “Nurses Leading Change,” pp. 275-</w:t>
            </w:r>
            <w:r w:rsidR="009E59CF">
              <w:rPr>
                <w:sz w:val="20"/>
                <w:szCs w:val="20"/>
              </w:rPr>
              <w:t>296.</w:t>
            </w:r>
          </w:p>
          <w:p w14:paraId="0119DD10" w14:textId="584268E1" w:rsidR="00647FE2" w:rsidRDefault="00647FE2" w:rsidP="00ED05BC">
            <w:pPr>
              <w:rPr>
                <w:sz w:val="20"/>
                <w:szCs w:val="20"/>
              </w:rPr>
            </w:pPr>
          </w:p>
          <w:p w14:paraId="06BE772E" w14:textId="4C76B99E" w:rsidR="00647FE2" w:rsidRDefault="00647FE2" w:rsidP="00ED05BC">
            <w:pPr>
              <w:rPr>
                <w:sz w:val="20"/>
                <w:szCs w:val="20"/>
              </w:rPr>
            </w:pPr>
            <w:r w:rsidRPr="00D10906">
              <w:rPr>
                <w:b/>
                <w:bCs/>
                <w:sz w:val="20"/>
                <w:szCs w:val="20"/>
              </w:rPr>
              <w:t>Of Special Note in FONR Chapter 9</w:t>
            </w:r>
            <w:r w:rsidR="00D10906">
              <w:rPr>
                <w:b/>
                <w:bCs/>
                <w:sz w:val="20"/>
                <w:szCs w:val="20"/>
              </w:rPr>
              <w:t>;</w:t>
            </w:r>
            <w:r>
              <w:rPr>
                <w:sz w:val="20"/>
                <w:szCs w:val="20"/>
              </w:rPr>
              <w:t xml:space="preserve"> Table 9-1</w:t>
            </w:r>
            <w:r w:rsidR="00D10906">
              <w:rPr>
                <w:sz w:val="20"/>
                <w:szCs w:val="20"/>
              </w:rPr>
              <w:t>,</w:t>
            </w:r>
            <w:r>
              <w:rPr>
                <w:sz w:val="20"/>
                <w:szCs w:val="20"/>
              </w:rPr>
              <w:t xml:space="preserve"> “A Framework for Nurse Leadership,” </w:t>
            </w:r>
            <w:r w:rsidR="00D10906">
              <w:rPr>
                <w:sz w:val="20"/>
                <w:szCs w:val="20"/>
              </w:rPr>
              <w:t>p. 279.</w:t>
            </w:r>
          </w:p>
          <w:p w14:paraId="6C511A5E" w14:textId="77777777" w:rsidR="00647FE2" w:rsidRDefault="00647FE2" w:rsidP="00ED05BC">
            <w:pPr>
              <w:rPr>
                <w:sz w:val="20"/>
                <w:szCs w:val="20"/>
              </w:rPr>
            </w:pPr>
          </w:p>
          <w:p w14:paraId="095AD468" w14:textId="6597DB95" w:rsidR="003203DD" w:rsidRDefault="003203DD" w:rsidP="00ED05BC">
            <w:pPr>
              <w:rPr>
                <w:sz w:val="20"/>
                <w:szCs w:val="20"/>
              </w:rPr>
            </w:pPr>
            <w:r>
              <w:rPr>
                <w:sz w:val="20"/>
                <w:szCs w:val="20"/>
              </w:rPr>
              <w:t>FONR, “Charting a Path to Achieve Health Equity,” p. 428, #7.</w:t>
            </w:r>
          </w:p>
          <w:p w14:paraId="37DCE79C" w14:textId="77777777" w:rsidR="003203DD" w:rsidRDefault="003203DD" w:rsidP="00ED05BC">
            <w:pPr>
              <w:rPr>
                <w:sz w:val="20"/>
                <w:szCs w:val="20"/>
              </w:rPr>
            </w:pPr>
          </w:p>
          <w:p w14:paraId="61A20EE8" w14:textId="77777777" w:rsidR="003203DD" w:rsidRDefault="003203DD" w:rsidP="00ED05BC">
            <w:pPr>
              <w:rPr>
                <w:sz w:val="20"/>
                <w:szCs w:val="20"/>
              </w:rPr>
            </w:pPr>
            <w:r>
              <w:rPr>
                <w:sz w:val="20"/>
                <w:szCs w:val="20"/>
              </w:rPr>
              <w:lastRenderedPageBreak/>
              <w:t>FONR, “The Power of Leadership,” p. 458.</w:t>
            </w:r>
          </w:p>
          <w:p w14:paraId="4FB4A946" w14:textId="77777777" w:rsidR="003203DD" w:rsidRDefault="003203DD" w:rsidP="00ED05BC">
            <w:pPr>
              <w:rPr>
                <w:sz w:val="20"/>
                <w:szCs w:val="20"/>
              </w:rPr>
            </w:pPr>
          </w:p>
          <w:p w14:paraId="7143C8B0" w14:textId="77777777" w:rsidR="003203DD" w:rsidRDefault="003203DD" w:rsidP="00ED05BC">
            <w:pPr>
              <w:rPr>
                <w:sz w:val="20"/>
                <w:szCs w:val="20"/>
              </w:rPr>
            </w:pPr>
            <w:r>
              <w:rPr>
                <w:sz w:val="20"/>
                <w:szCs w:val="20"/>
              </w:rPr>
              <w:t>FONR, “A Framework for Nurse Leadership”, Box 9-1, p. 279.</w:t>
            </w:r>
          </w:p>
          <w:p w14:paraId="00F62509" w14:textId="77777777" w:rsidR="003203DD" w:rsidRDefault="003203DD" w:rsidP="00ED05BC">
            <w:pPr>
              <w:rPr>
                <w:sz w:val="20"/>
                <w:szCs w:val="20"/>
              </w:rPr>
            </w:pPr>
          </w:p>
          <w:p w14:paraId="28A3BF9C" w14:textId="77777777" w:rsidR="003203DD" w:rsidRDefault="003203DD" w:rsidP="00ED05BC">
            <w:pPr>
              <w:rPr>
                <w:sz w:val="20"/>
                <w:szCs w:val="20"/>
              </w:rPr>
            </w:pPr>
            <w:r>
              <w:rPr>
                <w:sz w:val="20"/>
                <w:szCs w:val="20"/>
              </w:rPr>
              <w:t>FONR, Figure S-1, “Key Areas for Strengthening Nursing,” p. 5.</w:t>
            </w:r>
          </w:p>
          <w:p w14:paraId="237F9306" w14:textId="77777777" w:rsidR="003203DD" w:rsidRDefault="003203DD" w:rsidP="00ED05BC">
            <w:pPr>
              <w:rPr>
                <w:sz w:val="20"/>
                <w:szCs w:val="20"/>
              </w:rPr>
            </w:pPr>
          </w:p>
          <w:p w14:paraId="527D88A1" w14:textId="77777777" w:rsidR="003203DD" w:rsidRDefault="003203DD" w:rsidP="00ED05BC">
            <w:pPr>
              <w:rPr>
                <w:sz w:val="20"/>
                <w:szCs w:val="20"/>
              </w:rPr>
            </w:pPr>
            <w:r>
              <w:rPr>
                <w:sz w:val="20"/>
                <w:szCs w:val="20"/>
              </w:rPr>
              <w:t>FONR, “Fostering Nurses’ Roles as Leaders and Advocates,” pp. 10-11.</w:t>
            </w:r>
          </w:p>
          <w:p w14:paraId="61762156" w14:textId="77777777" w:rsidR="003203DD" w:rsidRDefault="003203DD" w:rsidP="00ED05BC">
            <w:pPr>
              <w:rPr>
                <w:sz w:val="20"/>
                <w:szCs w:val="20"/>
              </w:rPr>
            </w:pPr>
          </w:p>
          <w:p w14:paraId="6E156BA9" w14:textId="77777777" w:rsidR="003203DD" w:rsidRDefault="003203DD" w:rsidP="00ED05BC">
            <w:pPr>
              <w:rPr>
                <w:sz w:val="20"/>
                <w:szCs w:val="20"/>
              </w:rPr>
            </w:pPr>
            <w:r>
              <w:rPr>
                <w:sz w:val="20"/>
                <w:szCs w:val="20"/>
              </w:rPr>
              <w:t>FONR, Table 7-1</w:t>
            </w:r>
            <w:r w:rsidR="00647FE2">
              <w:rPr>
                <w:sz w:val="20"/>
                <w:szCs w:val="20"/>
              </w:rPr>
              <w:t>, “Pathways in Nursing Education,” p. 192.</w:t>
            </w:r>
          </w:p>
          <w:p w14:paraId="391E4CC4" w14:textId="77777777" w:rsidR="00647FE2" w:rsidRDefault="00647FE2" w:rsidP="00ED05BC">
            <w:pPr>
              <w:rPr>
                <w:sz w:val="20"/>
                <w:szCs w:val="20"/>
              </w:rPr>
            </w:pPr>
          </w:p>
          <w:p w14:paraId="27025D5D" w14:textId="77777777" w:rsidR="00647FE2" w:rsidRDefault="00647FE2" w:rsidP="00ED05BC">
            <w:pPr>
              <w:rPr>
                <w:sz w:val="20"/>
                <w:szCs w:val="20"/>
              </w:rPr>
            </w:pPr>
            <w:r>
              <w:rPr>
                <w:sz w:val="20"/>
                <w:szCs w:val="20"/>
              </w:rPr>
              <w:t>FONR, Box 7-1, “National League for Nursing’s Vision for Integration of the Social Determinants of Health into Nursing Education Curricula,” p. 194.</w:t>
            </w:r>
          </w:p>
          <w:p w14:paraId="30289693" w14:textId="77777777" w:rsidR="00647FE2" w:rsidRDefault="00647FE2" w:rsidP="00ED05BC">
            <w:pPr>
              <w:rPr>
                <w:sz w:val="20"/>
                <w:szCs w:val="20"/>
              </w:rPr>
            </w:pPr>
          </w:p>
          <w:p w14:paraId="7F63F12F" w14:textId="783B6F91" w:rsidR="00647FE2" w:rsidRDefault="00647FE2" w:rsidP="00ED05BC">
            <w:pPr>
              <w:rPr>
                <w:sz w:val="20"/>
                <w:szCs w:val="20"/>
              </w:rPr>
            </w:pPr>
            <w:r>
              <w:rPr>
                <w:sz w:val="20"/>
                <w:szCs w:val="20"/>
              </w:rPr>
              <w:t xml:space="preserve">FONR, “Educating Nurses for the Future,” p. 196, last paragraph. </w:t>
            </w:r>
          </w:p>
          <w:p w14:paraId="09F91B70" w14:textId="1B340830" w:rsidR="00647FE2" w:rsidRDefault="00647FE2" w:rsidP="00ED05BC">
            <w:pPr>
              <w:rPr>
                <w:sz w:val="20"/>
                <w:szCs w:val="20"/>
              </w:rPr>
            </w:pPr>
          </w:p>
          <w:p w14:paraId="362ACC51" w14:textId="250FB636" w:rsidR="00647FE2" w:rsidRDefault="00647FE2" w:rsidP="00ED05BC">
            <w:pPr>
              <w:rPr>
                <w:sz w:val="20"/>
                <w:szCs w:val="20"/>
              </w:rPr>
            </w:pPr>
            <w:r>
              <w:rPr>
                <w:sz w:val="20"/>
                <w:szCs w:val="20"/>
              </w:rPr>
              <w:t>FONR, “The Need for BSN-Prepared Nurses,” p. 200, first paragraph.</w:t>
            </w:r>
          </w:p>
          <w:p w14:paraId="66CE0C15" w14:textId="09B27300" w:rsidR="00647FE2" w:rsidRDefault="00647FE2" w:rsidP="00ED05BC">
            <w:pPr>
              <w:rPr>
                <w:sz w:val="20"/>
                <w:szCs w:val="20"/>
              </w:rPr>
            </w:pPr>
          </w:p>
          <w:p w14:paraId="1DF273A9" w14:textId="5A8BDC10" w:rsidR="00647FE2" w:rsidRDefault="00647FE2" w:rsidP="00ED05BC">
            <w:pPr>
              <w:rPr>
                <w:sz w:val="20"/>
                <w:szCs w:val="20"/>
              </w:rPr>
            </w:pPr>
            <w:r>
              <w:rPr>
                <w:sz w:val="20"/>
                <w:szCs w:val="20"/>
              </w:rPr>
              <w:t>FONR, “Roles of Nurses During Natural Disasters and Public Health Emergencies,” p. 248.</w:t>
            </w:r>
          </w:p>
          <w:p w14:paraId="2512A923" w14:textId="3828A2C4" w:rsidR="00647FE2" w:rsidRPr="004976C9" w:rsidRDefault="00647FE2" w:rsidP="00ED05BC">
            <w:pPr>
              <w:rPr>
                <w:sz w:val="20"/>
                <w:szCs w:val="20"/>
              </w:rPr>
            </w:pPr>
          </w:p>
        </w:tc>
        <w:tc>
          <w:tcPr>
            <w:tcW w:w="3414" w:type="dxa"/>
          </w:tcPr>
          <w:p w14:paraId="57EF7384" w14:textId="366DB1E4" w:rsidR="002105D6" w:rsidRPr="005A555A" w:rsidRDefault="005A555A" w:rsidP="00ED05BC">
            <w:pPr>
              <w:rPr>
                <w:b/>
                <w:bCs/>
              </w:rPr>
            </w:pPr>
            <w:r w:rsidRPr="005A555A">
              <w:rPr>
                <w:b/>
                <w:bCs/>
              </w:rPr>
              <w:lastRenderedPageBreak/>
              <w:t>NA</w:t>
            </w:r>
          </w:p>
        </w:tc>
      </w:tr>
      <w:tr w:rsidR="00C21F6A" w14:paraId="0EF900F6" w14:textId="77777777" w:rsidTr="00BC711C">
        <w:tc>
          <w:tcPr>
            <w:tcW w:w="3036" w:type="dxa"/>
          </w:tcPr>
          <w:p w14:paraId="378BFDEB" w14:textId="7B20B455" w:rsidR="00C21F6A" w:rsidRDefault="00EA194B" w:rsidP="00C21F6A">
            <w:pPr>
              <w:autoSpaceDE w:val="0"/>
              <w:autoSpaceDN w:val="0"/>
              <w:adjustRightInd w:val="0"/>
              <w:rPr>
                <w:b/>
                <w:bCs/>
                <w:sz w:val="24"/>
                <w:szCs w:val="24"/>
              </w:rPr>
            </w:pPr>
            <w:r>
              <w:rPr>
                <w:b/>
                <w:bCs/>
                <w:sz w:val="24"/>
                <w:szCs w:val="24"/>
              </w:rPr>
              <w:t>GA1</w:t>
            </w:r>
            <w:r w:rsidR="00C21F6A">
              <w:rPr>
                <w:b/>
                <w:bCs/>
                <w:sz w:val="24"/>
                <w:szCs w:val="24"/>
              </w:rPr>
              <w:t>:</w:t>
            </w:r>
          </w:p>
          <w:p w14:paraId="58F46D94" w14:textId="77777777" w:rsidR="00C21F6A" w:rsidRDefault="00C21F6A" w:rsidP="00C21F6A">
            <w:pPr>
              <w:autoSpaceDE w:val="0"/>
              <w:autoSpaceDN w:val="0"/>
              <w:adjustRightInd w:val="0"/>
              <w:rPr>
                <w:b/>
                <w:bCs/>
                <w:sz w:val="24"/>
                <w:szCs w:val="24"/>
              </w:rPr>
            </w:pPr>
          </w:p>
          <w:p w14:paraId="17FE19B9" w14:textId="10990228" w:rsidR="00C21F6A" w:rsidRPr="009408A1" w:rsidRDefault="00C21F6A" w:rsidP="00C21F6A">
            <w:pPr>
              <w:autoSpaceDE w:val="0"/>
              <w:autoSpaceDN w:val="0"/>
              <w:adjustRightInd w:val="0"/>
              <w:rPr>
                <w:rFonts w:ascii="Calibri" w:hAnsi="Calibri" w:cs="Calibri"/>
                <w:b/>
                <w:bCs/>
                <w:sz w:val="24"/>
                <w:szCs w:val="24"/>
              </w:rPr>
            </w:pPr>
            <w:r w:rsidRPr="000D3AFC">
              <w:rPr>
                <w:b/>
                <w:bCs/>
                <w:sz w:val="24"/>
                <w:szCs w:val="24"/>
              </w:rPr>
              <w:t xml:space="preserve">Health Equity, Diversity, &amp; Inclusion </w:t>
            </w:r>
          </w:p>
        </w:tc>
        <w:tc>
          <w:tcPr>
            <w:tcW w:w="3588" w:type="dxa"/>
          </w:tcPr>
          <w:p w14:paraId="5E1B61F4" w14:textId="77777777" w:rsidR="00C21F6A" w:rsidRPr="00334E41" w:rsidRDefault="00C21F6A" w:rsidP="00C21F6A">
            <w:pPr>
              <w:autoSpaceDE w:val="0"/>
              <w:autoSpaceDN w:val="0"/>
              <w:adjustRightInd w:val="0"/>
              <w:rPr>
                <w:rFonts w:ascii="Calibri-BoldItalic" w:hAnsi="Calibri-BoldItalic" w:cs="Calibri-BoldItalic"/>
                <w:b/>
                <w:bCs/>
                <w:i/>
                <w:iCs/>
                <w:sz w:val="20"/>
                <w:szCs w:val="20"/>
              </w:rPr>
            </w:pPr>
            <w:r w:rsidRPr="00334E41">
              <w:rPr>
                <w:rFonts w:ascii="Calibri-BoldItalic" w:hAnsi="Calibri-BoldItalic" w:cs="Calibri-BoldItalic"/>
                <w:b/>
                <w:bCs/>
                <w:i/>
                <w:iCs/>
                <w:sz w:val="20"/>
                <w:szCs w:val="20"/>
              </w:rPr>
              <w:t>Diversity, Equity, and Inclusion</w:t>
            </w:r>
          </w:p>
          <w:p w14:paraId="5B89BBA2" w14:textId="77777777" w:rsidR="00C21F6A" w:rsidRPr="00334E41" w:rsidRDefault="00C21F6A" w:rsidP="00C21F6A">
            <w:pPr>
              <w:autoSpaceDE w:val="0"/>
              <w:autoSpaceDN w:val="0"/>
              <w:adjustRightInd w:val="0"/>
              <w:rPr>
                <w:rFonts w:ascii="Calibri" w:hAnsi="Calibri" w:cs="Calibri"/>
                <w:sz w:val="20"/>
                <w:szCs w:val="20"/>
              </w:rPr>
            </w:pPr>
            <w:r w:rsidRPr="00334E41">
              <w:rPr>
                <w:rFonts w:ascii="Calibri" w:hAnsi="Calibri" w:cs="Calibri"/>
                <w:sz w:val="20"/>
                <w:szCs w:val="20"/>
              </w:rPr>
              <w:t>Shifting U.S. population demographics, health workforce shortages, and persistent health</w:t>
            </w:r>
            <w:r>
              <w:rPr>
                <w:rFonts w:ascii="Calibri" w:hAnsi="Calibri" w:cs="Calibri"/>
                <w:sz w:val="20"/>
                <w:szCs w:val="20"/>
              </w:rPr>
              <w:t xml:space="preserve"> </w:t>
            </w:r>
            <w:r w:rsidRPr="00334E41">
              <w:rPr>
                <w:rFonts w:ascii="Calibri" w:hAnsi="Calibri" w:cs="Calibri"/>
                <w:sz w:val="20"/>
                <w:szCs w:val="20"/>
              </w:rPr>
              <w:t>inequities necessitate the preparation of nurses able to address systemic racism and pervasive</w:t>
            </w:r>
            <w:r>
              <w:rPr>
                <w:rFonts w:ascii="Calibri" w:hAnsi="Calibri" w:cs="Calibri"/>
                <w:sz w:val="20"/>
                <w:szCs w:val="20"/>
              </w:rPr>
              <w:t xml:space="preserve"> </w:t>
            </w:r>
            <w:r w:rsidRPr="00334E41">
              <w:rPr>
                <w:rFonts w:ascii="Calibri" w:hAnsi="Calibri" w:cs="Calibri"/>
                <w:sz w:val="20"/>
                <w:szCs w:val="20"/>
              </w:rPr>
              <w:t>inequities in health care. The existing inequitable distribution of the nursing workforce</w:t>
            </w:r>
          </w:p>
          <w:p w14:paraId="4DF02891" w14:textId="77777777" w:rsidR="00C21F6A" w:rsidRPr="00334E41" w:rsidRDefault="00C21F6A" w:rsidP="00C21F6A">
            <w:pPr>
              <w:autoSpaceDE w:val="0"/>
              <w:autoSpaceDN w:val="0"/>
              <w:adjustRightInd w:val="0"/>
              <w:rPr>
                <w:rFonts w:ascii="Calibri" w:hAnsi="Calibri" w:cs="Calibri"/>
                <w:sz w:val="20"/>
                <w:szCs w:val="20"/>
              </w:rPr>
            </w:pPr>
            <w:r w:rsidRPr="00334E41">
              <w:rPr>
                <w:rFonts w:ascii="Calibri" w:hAnsi="Calibri" w:cs="Calibri"/>
                <w:sz w:val="20"/>
                <w:szCs w:val="20"/>
              </w:rPr>
              <w:lastRenderedPageBreak/>
              <w:t>across the United States, particularly in underserved urban and rural areas, impacts access</w:t>
            </w:r>
            <w:r>
              <w:rPr>
                <w:rFonts w:ascii="Calibri" w:hAnsi="Calibri" w:cs="Calibri"/>
                <w:sz w:val="20"/>
                <w:szCs w:val="20"/>
              </w:rPr>
              <w:t xml:space="preserve"> </w:t>
            </w:r>
            <w:r w:rsidRPr="00334E41">
              <w:rPr>
                <w:rFonts w:ascii="Calibri" w:hAnsi="Calibri" w:cs="Calibri"/>
                <w:sz w:val="20"/>
                <w:szCs w:val="20"/>
              </w:rPr>
              <w:t>to healthcare services across the continuum from health promotion and disease prevention,</w:t>
            </w:r>
            <w:r>
              <w:rPr>
                <w:rFonts w:ascii="Calibri" w:hAnsi="Calibri" w:cs="Calibri"/>
                <w:sz w:val="20"/>
                <w:szCs w:val="20"/>
              </w:rPr>
              <w:t xml:space="preserve"> </w:t>
            </w:r>
            <w:r w:rsidRPr="00334E41">
              <w:rPr>
                <w:rFonts w:ascii="Calibri" w:hAnsi="Calibri" w:cs="Calibri"/>
                <w:sz w:val="20"/>
                <w:szCs w:val="20"/>
              </w:rPr>
              <w:t>to chronic disease management, to restorative and supportive care. Diversity, equity, and</w:t>
            </w:r>
            <w:r>
              <w:rPr>
                <w:rFonts w:ascii="Calibri" w:hAnsi="Calibri" w:cs="Calibri"/>
                <w:sz w:val="20"/>
                <w:szCs w:val="20"/>
              </w:rPr>
              <w:t xml:space="preserve"> </w:t>
            </w:r>
            <w:r w:rsidRPr="00334E41">
              <w:rPr>
                <w:rFonts w:ascii="Calibri" w:hAnsi="Calibri" w:cs="Calibri"/>
                <w:sz w:val="20"/>
                <w:szCs w:val="20"/>
              </w:rPr>
              <w:t>inclusion—as a value— supports nursing workforce development to prepare graduates who</w:t>
            </w:r>
          </w:p>
          <w:p w14:paraId="1151200A" w14:textId="77777777" w:rsidR="00C21F6A" w:rsidRDefault="00C21F6A" w:rsidP="00C21F6A">
            <w:pPr>
              <w:autoSpaceDE w:val="0"/>
              <w:autoSpaceDN w:val="0"/>
              <w:adjustRightInd w:val="0"/>
              <w:rPr>
                <w:rFonts w:ascii="Calibri" w:hAnsi="Calibri" w:cs="Calibri"/>
                <w:sz w:val="20"/>
                <w:szCs w:val="20"/>
              </w:rPr>
            </w:pPr>
            <w:r w:rsidRPr="00334E41">
              <w:rPr>
                <w:rFonts w:ascii="Calibri" w:hAnsi="Calibri" w:cs="Calibri"/>
                <w:sz w:val="20"/>
                <w:szCs w:val="20"/>
              </w:rPr>
              <w:t>contribute to the improvement of access and care quality for underrepresented and medically</w:t>
            </w:r>
            <w:r>
              <w:rPr>
                <w:rFonts w:ascii="Calibri" w:hAnsi="Calibri" w:cs="Calibri"/>
                <w:sz w:val="20"/>
                <w:szCs w:val="20"/>
              </w:rPr>
              <w:t xml:space="preserve"> </w:t>
            </w:r>
            <w:r w:rsidRPr="00334E41">
              <w:rPr>
                <w:rFonts w:ascii="Calibri" w:hAnsi="Calibri" w:cs="Calibri"/>
                <w:sz w:val="20"/>
                <w:szCs w:val="20"/>
              </w:rPr>
              <w:t>underserved populations (AACN</w:t>
            </w:r>
            <w:r>
              <w:rPr>
                <w:rFonts w:ascii="Calibri" w:hAnsi="Calibri" w:cs="Calibri"/>
                <w:sz w:val="20"/>
                <w:szCs w:val="20"/>
              </w:rPr>
              <w:t xml:space="preserve"> Essentials, p. 5</w:t>
            </w:r>
            <w:r w:rsidRPr="00334E41">
              <w:rPr>
                <w:rFonts w:ascii="Calibri" w:hAnsi="Calibri" w:cs="Calibri"/>
                <w:sz w:val="20"/>
                <w:szCs w:val="20"/>
              </w:rPr>
              <w:t xml:space="preserve">). </w:t>
            </w:r>
          </w:p>
          <w:p w14:paraId="7046DF8B" w14:textId="77777777" w:rsidR="00C21F6A" w:rsidRDefault="00C21F6A" w:rsidP="00C21F6A">
            <w:pPr>
              <w:autoSpaceDE w:val="0"/>
              <w:autoSpaceDN w:val="0"/>
              <w:adjustRightInd w:val="0"/>
              <w:rPr>
                <w:rFonts w:ascii="Calibri" w:hAnsi="Calibri" w:cs="Calibri"/>
                <w:sz w:val="20"/>
                <w:szCs w:val="20"/>
              </w:rPr>
            </w:pPr>
          </w:p>
          <w:p w14:paraId="0A2D9B29" w14:textId="69FAD560" w:rsidR="00C21F6A" w:rsidRPr="004976C9" w:rsidRDefault="00C21F6A" w:rsidP="00C21F6A">
            <w:pPr>
              <w:autoSpaceDE w:val="0"/>
              <w:autoSpaceDN w:val="0"/>
              <w:adjustRightInd w:val="0"/>
              <w:rPr>
                <w:rFonts w:ascii="Calibri" w:hAnsi="Calibri" w:cs="Calibri"/>
                <w:b/>
                <w:bCs/>
                <w:sz w:val="20"/>
                <w:szCs w:val="20"/>
              </w:rPr>
            </w:pPr>
            <w:r w:rsidRPr="00334E41">
              <w:rPr>
                <w:rFonts w:ascii="Calibri" w:hAnsi="Calibri" w:cs="Calibri"/>
                <w:sz w:val="20"/>
                <w:szCs w:val="20"/>
              </w:rPr>
              <w:t>Diversity, equity, and inclusion require intentionality,</w:t>
            </w:r>
            <w:r>
              <w:rPr>
                <w:rFonts w:ascii="Calibri" w:hAnsi="Calibri" w:cs="Calibri"/>
                <w:sz w:val="20"/>
                <w:szCs w:val="20"/>
              </w:rPr>
              <w:t xml:space="preserve"> </w:t>
            </w:r>
            <w:r w:rsidRPr="00334E41">
              <w:rPr>
                <w:rFonts w:ascii="Calibri" w:hAnsi="Calibri" w:cs="Calibri"/>
                <w:sz w:val="20"/>
                <w:szCs w:val="20"/>
              </w:rPr>
              <w:t>an institutional structure of social justice, and individually concerted efforts. The integration</w:t>
            </w:r>
            <w:r>
              <w:rPr>
                <w:rFonts w:ascii="Calibri" w:hAnsi="Calibri" w:cs="Calibri"/>
                <w:sz w:val="20"/>
                <w:szCs w:val="20"/>
              </w:rPr>
              <w:t xml:space="preserve"> </w:t>
            </w:r>
            <w:r w:rsidRPr="00334E41">
              <w:rPr>
                <w:rFonts w:ascii="Calibri" w:hAnsi="Calibri" w:cs="Calibri"/>
                <w:sz w:val="20"/>
                <w:szCs w:val="20"/>
              </w:rPr>
              <w:t xml:space="preserve">of diversity, equity, and inclusion in this </w:t>
            </w:r>
            <w:r w:rsidRPr="00334E41">
              <w:rPr>
                <w:rFonts w:ascii="Calibri-Italic" w:hAnsi="Calibri-Italic" w:cs="Calibri-Italic"/>
                <w:i/>
                <w:iCs/>
                <w:sz w:val="20"/>
                <w:szCs w:val="20"/>
              </w:rPr>
              <w:t xml:space="preserve">Essentials </w:t>
            </w:r>
            <w:r w:rsidRPr="00334E41">
              <w:rPr>
                <w:rFonts w:ascii="Calibri" w:hAnsi="Calibri" w:cs="Calibri"/>
                <w:sz w:val="20"/>
                <w:szCs w:val="20"/>
              </w:rPr>
              <w:t>document moves away from an isolated</w:t>
            </w:r>
            <w:r>
              <w:rPr>
                <w:rFonts w:ascii="Calibri" w:hAnsi="Calibri" w:cs="Calibri"/>
                <w:sz w:val="20"/>
                <w:szCs w:val="20"/>
              </w:rPr>
              <w:t xml:space="preserve"> </w:t>
            </w:r>
            <w:r w:rsidRPr="00334E41">
              <w:rPr>
                <w:rFonts w:ascii="Calibri" w:hAnsi="Calibri" w:cs="Calibri"/>
                <w:sz w:val="20"/>
                <w:szCs w:val="20"/>
              </w:rPr>
              <w:t>focus on these critical concepts. Instead, these concepts, defined in competencies, are</w:t>
            </w:r>
            <w:r>
              <w:rPr>
                <w:rFonts w:ascii="Calibri" w:hAnsi="Calibri" w:cs="Calibri"/>
                <w:sz w:val="20"/>
                <w:szCs w:val="20"/>
              </w:rPr>
              <w:t xml:space="preserve"> </w:t>
            </w:r>
            <w:r w:rsidRPr="00334E41">
              <w:rPr>
                <w:rFonts w:ascii="Calibri" w:hAnsi="Calibri" w:cs="Calibri"/>
                <w:sz w:val="20"/>
                <w:szCs w:val="20"/>
              </w:rPr>
              <w:t>fully represented, and deeply integrated throughout the domains and expected in learning</w:t>
            </w:r>
            <w:r>
              <w:rPr>
                <w:rFonts w:ascii="Calibri" w:hAnsi="Calibri" w:cs="Calibri"/>
                <w:sz w:val="20"/>
                <w:szCs w:val="20"/>
              </w:rPr>
              <w:t xml:space="preserve"> </w:t>
            </w:r>
            <w:r w:rsidRPr="00334E41">
              <w:rPr>
                <w:rFonts w:ascii="Calibri" w:hAnsi="Calibri" w:cs="Calibri"/>
                <w:sz w:val="20"/>
                <w:szCs w:val="20"/>
              </w:rPr>
              <w:t>experiences across curricula</w:t>
            </w:r>
            <w:r>
              <w:rPr>
                <w:rFonts w:ascii="Calibri" w:hAnsi="Calibri" w:cs="Calibri"/>
                <w:sz w:val="20"/>
                <w:szCs w:val="20"/>
              </w:rPr>
              <w:t xml:space="preserve"> (AACN Essentials, p. 5)</w:t>
            </w:r>
            <w:r w:rsidRPr="00334E41">
              <w:rPr>
                <w:rFonts w:ascii="Calibri" w:hAnsi="Calibri" w:cs="Calibri"/>
                <w:sz w:val="20"/>
                <w:szCs w:val="20"/>
              </w:rPr>
              <w:t>.</w:t>
            </w:r>
          </w:p>
        </w:tc>
        <w:tc>
          <w:tcPr>
            <w:tcW w:w="3277" w:type="dxa"/>
          </w:tcPr>
          <w:p w14:paraId="56D8A3B5" w14:textId="77777777" w:rsidR="00C21F6A" w:rsidRDefault="00C21F6A" w:rsidP="00C21F6A">
            <w:pPr>
              <w:rPr>
                <w:sz w:val="20"/>
                <w:szCs w:val="20"/>
              </w:rPr>
            </w:pPr>
            <w:r w:rsidRPr="009E59CF">
              <w:rPr>
                <w:sz w:val="20"/>
                <w:szCs w:val="20"/>
              </w:rPr>
              <w:lastRenderedPageBreak/>
              <w:t>FONR,</w:t>
            </w:r>
            <w:r>
              <w:rPr>
                <w:sz w:val="20"/>
                <w:szCs w:val="20"/>
              </w:rPr>
              <w:t xml:space="preserve"> Chapter 2, “Social Determinants of Health and Health Equity,” pp. 31-58.</w:t>
            </w:r>
          </w:p>
          <w:p w14:paraId="500D3CCE" w14:textId="77777777" w:rsidR="00C21F6A" w:rsidRDefault="00C21F6A" w:rsidP="00C21F6A">
            <w:pPr>
              <w:rPr>
                <w:sz w:val="20"/>
                <w:szCs w:val="20"/>
              </w:rPr>
            </w:pPr>
          </w:p>
          <w:p w14:paraId="26E293D0" w14:textId="77777777" w:rsidR="00C21F6A" w:rsidRPr="009E59CF" w:rsidRDefault="00C21F6A" w:rsidP="00C21F6A">
            <w:pPr>
              <w:rPr>
                <w:sz w:val="20"/>
                <w:szCs w:val="20"/>
              </w:rPr>
            </w:pPr>
            <w:r>
              <w:rPr>
                <w:sz w:val="20"/>
                <w:szCs w:val="20"/>
              </w:rPr>
              <w:t>FONR, Chapter 5, “The Role of Nurses in Improving Health Equity,” pp. 127-146.</w:t>
            </w:r>
          </w:p>
          <w:p w14:paraId="5D4D5865" w14:textId="77777777" w:rsidR="00C21F6A" w:rsidRDefault="00C21F6A" w:rsidP="00C21F6A">
            <w:pPr>
              <w:rPr>
                <w:sz w:val="20"/>
                <w:szCs w:val="20"/>
              </w:rPr>
            </w:pPr>
          </w:p>
          <w:p w14:paraId="7B44FF9E" w14:textId="77777777" w:rsidR="00C21F6A" w:rsidRDefault="00C21F6A" w:rsidP="00C21F6A">
            <w:pPr>
              <w:rPr>
                <w:sz w:val="20"/>
                <w:szCs w:val="20"/>
              </w:rPr>
            </w:pPr>
            <w:r w:rsidRPr="009E59CF">
              <w:rPr>
                <w:sz w:val="20"/>
                <w:szCs w:val="20"/>
              </w:rPr>
              <w:lastRenderedPageBreak/>
              <w:t>FONR p. 202-208, “Domains and Competencies for Equity [for Nursing Education].</w:t>
            </w:r>
          </w:p>
          <w:p w14:paraId="210F43F1" w14:textId="77777777" w:rsidR="00C21F6A" w:rsidRDefault="00C21F6A" w:rsidP="00C21F6A">
            <w:pPr>
              <w:rPr>
                <w:sz w:val="20"/>
                <w:szCs w:val="20"/>
              </w:rPr>
            </w:pPr>
          </w:p>
          <w:p w14:paraId="61AE2B9F" w14:textId="77777777" w:rsidR="00C21F6A" w:rsidRPr="009E59CF" w:rsidRDefault="00C21F6A" w:rsidP="00C21F6A">
            <w:pPr>
              <w:rPr>
                <w:sz w:val="20"/>
                <w:szCs w:val="20"/>
              </w:rPr>
            </w:pPr>
            <w:r w:rsidRPr="009E59CF">
              <w:rPr>
                <w:sz w:val="20"/>
                <w:szCs w:val="20"/>
              </w:rPr>
              <w:t xml:space="preserve">FONR, p. 2, Box S-1: “Achieving Health Equity Through Nursing: Desired Outcomes.”  </w:t>
            </w:r>
          </w:p>
          <w:p w14:paraId="71CC6001" w14:textId="77777777" w:rsidR="00C21F6A" w:rsidRPr="009E59CF" w:rsidRDefault="00C21F6A" w:rsidP="00C21F6A">
            <w:pPr>
              <w:rPr>
                <w:sz w:val="20"/>
                <w:szCs w:val="20"/>
              </w:rPr>
            </w:pPr>
          </w:p>
          <w:p w14:paraId="488C001F" w14:textId="77777777" w:rsidR="00C21F6A" w:rsidRPr="009E59CF" w:rsidRDefault="00C21F6A" w:rsidP="00C21F6A">
            <w:pPr>
              <w:rPr>
                <w:sz w:val="20"/>
                <w:szCs w:val="20"/>
              </w:rPr>
            </w:pPr>
            <w:r w:rsidRPr="009E59CF">
              <w:rPr>
                <w:sz w:val="20"/>
                <w:szCs w:val="20"/>
              </w:rPr>
              <w:t>FONR, p. 13, Box S-2: “The Committee’s Recommendations.”</w:t>
            </w:r>
          </w:p>
          <w:p w14:paraId="3DED858C" w14:textId="77777777" w:rsidR="00C21F6A" w:rsidRPr="009E59CF" w:rsidRDefault="00C21F6A" w:rsidP="00C21F6A">
            <w:pPr>
              <w:rPr>
                <w:sz w:val="20"/>
                <w:szCs w:val="20"/>
              </w:rPr>
            </w:pPr>
          </w:p>
          <w:p w14:paraId="5C290EFE" w14:textId="77777777" w:rsidR="00C21F6A" w:rsidRPr="009E59CF" w:rsidRDefault="00C21F6A" w:rsidP="00C21F6A">
            <w:pPr>
              <w:rPr>
                <w:sz w:val="20"/>
                <w:szCs w:val="20"/>
              </w:rPr>
            </w:pPr>
            <w:r w:rsidRPr="009E59CF">
              <w:rPr>
                <w:sz w:val="20"/>
                <w:szCs w:val="20"/>
              </w:rPr>
              <w:t>FONR, pg. 189, “Educating Nurses for the Future.”</w:t>
            </w:r>
          </w:p>
          <w:p w14:paraId="2E311CE3" w14:textId="77777777" w:rsidR="00C21F6A" w:rsidRPr="009E59CF" w:rsidRDefault="00C21F6A" w:rsidP="00C21F6A">
            <w:pPr>
              <w:rPr>
                <w:sz w:val="20"/>
                <w:szCs w:val="20"/>
              </w:rPr>
            </w:pPr>
          </w:p>
          <w:p w14:paraId="2D2DF88C" w14:textId="77777777" w:rsidR="00C21F6A" w:rsidRPr="009E59CF" w:rsidRDefault="00C21F6A" w:rsidP="00C21F6A">
            <w:pPr>
              <w:rPr>
                <w:sz w:val="20"/>
                <w:szCs w:val="20"/>
              </w:rPr>
            </w:pPr>
          </w:p>
          <w:p w14:paraId="57A4E2A8" w14:textId="77777777" w:rsidR="00C21F6A" w:rsidRPr="009E59CF" w:rsidRDefault="00C21F6A" w:rsidP="00C21F6A">
            <w:pPr>
              <w:autoSpaceDE w:val="0"/>
              <w:autoSpaceDN w:val="0"/>
              <w:adjustRightInd w:val="0"/>
              <w:rPr>
                <w:rFonts w:eastAsia="Times-Roman" w:cstheme="minorHAnsi"/>
                <w:sz w:val="20"/>
                <w:szCs w:val="20"/>
              </w:rPr>
            </w:pPr>
            <w:r w:rsidRPr="009E59CF">
              <w:rPr>
                <w:rFonts w:cstheme="minorHAnsi"/>
                <w:sz w:val="20"/>
                <w:szCs w:val="20"/>
              </w:rPr>
              <w:t>FONR, pp. 3-9: “…</w:t>
            </w:r>
            <w:r w:rsidRPr="009E59CF">
              <w:rPr>
                <w:rFonts w:eastAsia="Times-Roman" w:cstheme="minorHAnsi"/>
                <w:sz w:val="20"/>
                <w:szCs w:val="20"/>
              </w:rPr>
              <w:t>the COVID-19 pandemic has starkly revealed Americans’ unequal access to opportunities to live a healthy life, often resulting from entrenched structural and systemic barriers that include poverty, racism, and discrimination… If the nation is to achieve better population health, it will have to meet the challenge of mitigating these inequities…</w:t>
            </w:r>
          </w:p>
          <w:p w14:paraId="6B983207" w14:textId="77777777" w:rsidR="00C21F6A" w:rsidRPr="009E59CF" w:rsidRDefault="00C21F6A" w:rsidP="00C21F6A">
            <w:pPr>
              <w:autoSpaceDE w:val="0"/>
              <w:autoSpaceDN w:val="0"/>
              <w:adjustRightInd w:val="0"/>
              <w:rPr>
                <w:rFonts w:cstheme="minorHAnsi"/>
                <w:i/>
                <w:iCs/>
                <w:sz w:val="20"/>
                <w:szCs w:val="20"/>
              </w:rPr>
            </w:pPr>
          </w:p>
          <w:p w14:paraId="48C41F11" w14:textId="77777777" w:rsidR="00C21F6A" w:rsidRPr="009E59CF" w:rsidRDefault="00C21F6A" w:rsidP="00C21F6A">
            <w:pPr>
              <w:autoSpaceDE w:val="0"/>
              <w:autoSpaceDN w:val="0"/>
              <w:adjustRightInd w:val="0"/>
              <w:rPr>
                <w:rFonts w:cstheme="minorHAnsi"/>
                <w:sz w:val="20"/>
                <w:szCs w:val="20"/>
              </w:rPr>
            </w:pPr>
            <w:r w:rsidRPr="009E59CF">
              <w:rPr>
                <w:rFonts w:cstheme="minorHAnsi"/>
                <w:sz w:val="20"/>
                <w:szCs w:val="20"/>
              </w:rPr>
              <w:t>FONR, P. 8:</w:t>
            </w:r>
          </w:p>
          <w:p w14:paraId="26E8B801" w14:textId="77777777" w:rsidR="00C21F6A" w:rsidRPr="009E59CF" w:rsidRDefault="00C21F6A" w:rsidP="00C21F6A">
            <w:pPr>
              <w:autoSpaceDE w:val="0"/>
              <w:autoSpaceDN w:val="0"/>
              <w:adjustRightInd w:val="0"/>
              <w:rPr>
                <w:rFonts w:cstheme="minorHAnsi"/>
                <w:i/>
                <w:iCs/>
                <w:sz w:val="20"/>
                <w:szCs w:val="20"/>
              </w:rPr>
            </w:pPr>
            <w:r w:rsidRPr="009E59CF">
              <w:rPr>
                <w:rFonts w:cstheme="minorHAnsi"/>
                <w:sz w:val="20"/>
                <w:szCs w:val="20"/>
              </w:rPr>
              <w:t>Conclusions</w:t>
            </w:r>
            <w:r w:rsidRPr="009E59CF">
              <w:rPr>
                <w:rFonts w:cstheme="minorHAnsi"/>
                <w:i/>
                <w:iCs/>
                <w:sz w:val="20"/>
                <w:szCs w:val="20"/>
              </w:rPr>
              <w:t xml:space="preserve"> 7-1, 7-3, 7-4 </w:t>
            </w:r>
          </w:p>
          <w:p w14:paraId="48E7B642" w14:textId="77777777" w:rsidR="00C21F6A" w:rsidRPr="009E59CF" w:rsidRDefault="00C21F6A" w:rsidP="00C21F6A">
            <w:pPr>
              <w:rPr>
                <w:sz w:val="20"/>
                <w:szCs w:val="20"/>
              </w:rPr>
            </w:pPr>
          </w:p>
          <w:p w14:paraId="7C47EF25" w14:textId="77777777" w:rsidR="00C21F6A" w:rsidRPr="009E59CF" w:rsidRDefault="00C21F6A" w:rsidP="00C21F6A">
            <w:pPr>
              <w:rPr>
                <w:sz w:val="20"/>
                <w:szCs w:val="20"/>
              </w:rPr>
            </w:pPr>
            <w:r w:rsidRPr="009E59CF">
              <w:rPr>
                <w:sz w:val="20"/>
                <w:szCs w:val="20"/>
              </w:rPr>
              <w:t>FONR, Box 2-1 “Social Determinants of Health” p. 33.</w:t>
            </w:r>
          </w:p>
          <w:p w14:paraId="6EAE513B" w14:textId="77777777" w:rsidR="00C21F6A" w:rsidRPr="009E59CF" w:rsidRDefault="00C21F6A" w:rsidP="00C21F6A">
            <w:pPr>
              <w:rPr>
                <w:sz w:val="20"/>
                <w:szCs w:val="20"/>
              </w:rPr>
            </w:pPr>
          </w:p>
          <w:p w14:paraId="306F28C4" w14:textId="77777777" w:rsidR="00C21F6A" w:rsidRPr="009E59CF" w:rsidRDefault="00C21F6A" w:rsidP="00C21F6A">
            <w:pPr>
              <w:rPr>
                <w:sz w:val="20"/>
                <w:szCs w:val="20"/>
              </w:rPr>
            </w:pPr>
            <w:r w:rsidRPr="009E59CF">
              <w:rPr>
                <w:sz w:val="20"/>
                <w:szCs w:val="20"/>
              </w:rPr>
              <w:t>FONR, Box 7-1, “ National League for Nursing’s Vision for Integration of the Social Determinants of Health into Nursing Education Curricula” p. 197,</w:t>
            </w:r>
          </w:p>
          <w:p w14:paraId="337BA312" w14:textId="77777777" w:rsidR="00C21F6A" w:rsidRPr="009E59CF" w:rsidRDefault="00C21F6A" w:rsidP="00C21F6A">
            <w:pPr>
              <w:rPr>
                <w:sz w:val="20"/>
                <w:szCs w:val="20"/>
              </w:rPr>
            </w:pPr>
          </w:p>
          <w:p w14:paraId="292BC866" w14:textId="77777777" w:rsidR="00C21F6A" w:rsidRPr="009E59CF" w:rsidRDefault="00C21F6A" w:rsidP="00C21F6A">
            <w:pPr>
              <w:rPr>
                <w:sz w:val="20"/>
                <w:szCs w:val="20"/>
              </w:rPr>
            </w:pPr>
            <w:r w:rsidRPr="009E59CF">
              <w:rPr>
                <w:sz w:val="20"/>
                <w:szCs w:val="20"/>
              </w:rPr>
              <w:lastRenderedPageBreak/>
              <w:t>FONR, “The Need for Integration of Social Determinants of Health and Health Equity into Nursing Education,” pp. 198-199.</w:t>
            </w:r>
          </w:p>
          <w:p w14:paraId="0FB3C940" w14:textId="77777777" w:rsidR="00C21F6A" w:rsidRPr="009E59CF" w:rsidRDefault="00C21F6A" w:rsidP="00C21F6A">
            <w:pPr>
              <w:rPr>
                <w:sz w:val="20"/>
                <w:szCs w:val="20"/>
              </w:rPr>
            </w:pPr>
          </w:p>
          <w:p w14:paraId="12A63C47" w14:textId="7F3C47B4" w:rsidR="00C21F6A" w:rsidRDefault="00C21F6A" w:rsidP="00C21F6A">
            <w:pPr>
              <w:rPr>
                <w:sz w:val="20"/>
                <w:szCs w:val="20"/>
              </w:rPr>
            </w:pPr>
            <w:r w:rsidRPr="009E59CF">
              <w:rPr>
                <w:sz w:val="20"/>
                <w:szCs w:val="20"/>
              </w:rPr>
              <w:t>FONR, “The need for Integration of Social Determinants of Health and Health Equity into Nursing Education” p. 201.</w:t>
            </w:r>
          </w:p>
        </w:tc>
        <w:tc>
          <w:tcPr>
            <w:tcW w:w="3414" w:type="dxa"/>
          </w:tcPr>
          <w:p w14:paraId="0E63351B" w14:textId="35304117" w:rsidR="00C21F6A" w:rsidRDefault="00053776" w:rsidP="00C21F6A">
            <w:r w:rsidRPr="00070F46">
              <w:lastRenderedPageBreak/>
              <w:t>Healthy People 2030 (HP) Website (</w:t>
            </w:r>
            <w:hyperlink r:id="rId19" w:history="1">
              <w:r w:rsidRPr="00070F46">
                <w:rPr>
                  <w:rStyle w:val="Hyperlink"/>
                </w:rPr>
                <w:t>https://health.gov/healthypeople</w:t>
              </w:r>
            </w:hyperlink>
            <w:r w:rsidRPr="00070F46">
              <w:t>), “Foundational Principles” and “Overarching Goals.”</w:t>
            </w:r>
          </w:p>
        </w:tc>
      </w:tr>
      <w:tr w:rsidR="00C21F6A" w14:paraId="70075A77" w14:textId="77777777" w:rsidTr="00BC711C">
        <w:tc>
          <w:tcPr>
            <w:tcW w:w="3036" w:type="dxa"/>
          </w:tcPr>
          <w:p w14:paraId="0CE9C282" w14:textId="68888354" w:rsidR="00C21F6A" w:rsidRDefault="00C21F6A" w:rsidP="00C21F6A">
            <w:pPr>
              <w:autoSpaceDE w:val="0"/>
              <w:autoSpaceDN w:val="0"/>
              <w:adjustRightInd w:val="0"/>
              <w:rPr>
                <w:b/>
                <w:bCs/>
                <w:sz w:val="24"/>
                <w:szCs w:val="24"/>
              </w:rPr>
            </w:pPr>
            <w:r>
              <w:rPr>
                <w:b/>
                <w:bCs/>
                <w:sz w:val="24"/>
                <w:szCs w:val="24"/>
              </w:rPr>
              <w:lastRenderedPageBreak/>
              <w:t>G</w:t>
            </w:r>
            <w:r w:rsidR="005A555A">
              <w:rPr>
                <w:b/>
                <w:bCs/>
                <w:sz w:val="24"/>
                <w:szCs w:val="24"/>
              </w:rPr>
              <w:t>A2</w:t>
            </w:r>
            <w:r>
              <w:rPr>
                <w:b/>
                <w:bCs/>
                <w:sz w:val="24"/>
                <w:szCs w:val="24"/>
              </w:rPr>
              <w:t>:</w:t>
            </w:r>
          </w:p>
          <w:p w14:paraId="348C3AC0" w14:textId="77777777" w:rsidR="00C21F6A" w:rsidRDefault="00C21F6A" w:rsidP="00C21F6A">
            <w:pPr>
              <w:autoSpaceDE w:val="0"/>
              <w:autoSpaceDN w:val="0"/>
              <w:adjustRightInd w:val="0"/>
              <w:rPr>
                <w:b/>
                <w:bCs/>
                <w:sz w:val="24"/>
                <w:szCs w:val="24"/>
              </w:rPr>
            </w:pPr>
          </w:p>
          <w:p w14:paraId="5E0ABAC6" w14:textId="7ED7B6C9" w:rsidR="00C21F6A" w:rsidRPr="009408A1" w:rsidRDefault="00C21F6A" w:rsidP="00C21F6A">
            <w:pPr>
              <w:autoSpaceDE w:val="0"/>
              <w:autoSpaceDN w:val="0"/>
              <w:adjustRightInd w:val="0"/>
              <w:rPr>
                <w:rFonts w:ascii="Calibri" w:hAnsi="Calibri" w:cs="Calibri"/>
                <w:b/>
                <w:bCs/>
                <w:sz w:val="24"/>
                <w:szCs w:val="24"/>
              </w:rPr>
            </w:pPr>
            <w:r w:rsidRPr="000D3AFC">
              <w:rPr>
                <w:b/>
                <w:bCs/>
                <w:sz w:val="24"/>
                <w:szCs w:val="24"/>
              </w:rPr>
              <w:t xml:space="preserve">Holistic care </w:t>
            </w:r>
          </w:p>
        </w:tc>
        <w:tc>
          <w:tcPr>
            <w:tcW w:w="3588" w:type="dxa"/>
          </w:tcPr>
          <w:p w14:paraId="76EB06BA" w14:textId="77777777" w:rsidR="00C21F6A" w:rsidRDefault="00C21F6A" w:rsidP="00C21F6A">
            <w:pPr>
              <w:rPr>
                <w:sz w:val="20"/>
                <w:szCs w:val="20"/>
              </w:rPr>
            </w:pPr>
            <w:r w:rsidRPr="005B22CE">
              <w:rPr>
                <w:sz w:val="20"/>
                <w:szCs w:val="20"/>
              </w:rPr>
              <w:t>Holistic care throughout 4 Spheres of Care and Across the lifespan (AACN Essentials, p.1, Paragraph 2</w:t>
            </w:r>
            <w:r>
              <w:rPr>
                <w:sz w:val="20"/>
                <w:szCs w:val="20"/>
              </w:rPr>
              <w:t xml:space="preserve">. </w:t>
            </w:r>
            <w:r w:rsidRPr="005B22CE">
              <w:rPr>
                <w:sz w:val="20"/>
                <w:szCs w:val="20"/>
              </w:rPr>
              <w:t xml:space="preserve"> </w:t>
            </w:r>
          </w:p>
          <w:p w14:paraId="316E0B9A" w14:textId="77777777" w:rsidR="00C21F6A" w:rsidRDefault="00C21F6A" w:rsidP="00C21F6A">
            <w:pPr>
              <w:rPr>
                <w:sz w:val="20"/>
                <w:szCs w:val="20"/>
              </w:rPr>
            </w:pPr>
          </w:p>
          <w:p w14:paraId="5CAC1DB0" w14:textId="65BFDA80" w:rsidR="00C21F6A" w:rsidRPr="004976C9" w:rsidRDefault="00C21F6A" w:rsidP="00C21F6A">
            <w:pPr>
              <w:autoSpaceDE w:val="0"/>
              <w:autoSpaceDN w:val="0"/>
              <w:adjustRightInd w:val="0"/>
              <w:rPr>
                <w:rFonts w:ascii="Calibri" w:hAnsi="Calibri" w:cs="Calibri"/>
                <w:b/>
                <w:bCs/>
                <w:sz w:val="20"/>
                <w:szCs w:val="20"/>
              </w:rPr>
            </w:pPr>
            <w:r>
              <w:rPr>
                <w:sz w:val="20"/>
                <w:szCs w:val="20"/>
              </w:rPr>
              <w:t>Four</w:t>
            </w:r>
            <w:r w:rsidRPr="0083192C">
              <w:rPr>
                <w:sz w:val="20"/>
                <w:szCs w:val="20"/>
              </w:rPr>
              <w:t xml:space="preserve"> Spheres of Care: Wellness/disease prevention; Chronic disease management; Regenerative/restorative care; Hospice/palliative care</w:t>
            </w:r>
            <w:r>
              <w:rPr>
                <w:sz w:val="20"/>
                <w:szCs w:val="20"/>
              </w:rPr>
              <w:t xml:space="preserve"> (AACN Essentials, p. 19-20).</w:t>
            </w:r>
          </w:p>
        </w:tc>
        <w:tc>
          <w:tcPr>
            <w:tcW w:w="3277" w:type="dxa"/>
          </w:tcPr>
          <w:p w14:paraId="0C2E4C40" w14:textId="77777777" w:rsidR="00C21F6A" w:rsidRPr="009E59CF" w:rsidRDefault="00C21F6A" w:rsidP="00C21F6A">
            <w:pPr>
              <w:rPr>
                <w:sz w:val="20"/>
                <w:szCs w:val="20"/>
              </w:rPr>
            </w:pPr>
            <w:r w:rsidRPr="009E59CF">
              <w:rPr>
                <w:sz w:val="20"/>
                <w:szCs w:val="20"/>
              </w:rPr>
              <w:t>Future of Nursing Report(FONR), p. 2, Box S-1: Achieving Health Equity Through Nursing: Desired Outcomes</w:t>
            </w:r>
          </w:p>
          <w:p w14:paraId="51FBC805" w14:textId="77777777" w:rsidR="00C21F6A" w:rsidRDefault="00C21F6A" w:rsidP="00C21F6A">
            <w:pPr>
              <w:rPr>
                <w:sz w:val="20"/>
                <w:szCs w:val="20"/>
              </w:rPr>
            </w:pPr>
          </w:p>
        </w:tc>
        <w:tc>
          <w:tcPr>
            <w:tcW w:w="3414" w:type="dxa"/>
          </w:tcPr>
          <w:p w14:paraId="433554EA" w14:textId="672FEE5E" w:rsidR="00C21F6A" w:rsidRDefault="00C21F6A" w:rsidP="00C21F6A">
            <w:r w:rsidRPr="00070F46">
              <w:rPr>
                <w:sz w:val="20"/>
                <w:szCs w:val="20"/>
              </w:rPr>
              <w:t>Healthy People 2030 (HP) Website (</w:t>
            </w:r>
            <w:hyperlink r:id="rId20" w:history="1">
              <w:r w:rsidRPr="00070F46">
                <w:rPr>
                  <w:rStyle w:val="Hyperlink"/>
                  <w:sz w:val="20"/>
                  <w:szCs w:val="20"/>
                </w:rPr>
                <w:t>https://health.gov/healthypeople</w:t>
              </w:r>
            </w:hyperlink>
            <w:r w:rsidRPr="00070F46">
              <w:rPr>
                <w:sz w:val="20"/>
                <w:szCs w:val="20"/>
              </w:rPr>
              <w:t>), “Overarching Goals.”</w:t>
            </w:r>
          </w:p>
        </w:tc>
      </w:tr>
      <w:tr w:rsidR="00C21F6A" w14:paraId="7F3F24E8" w14:textId="77777777" w:rsidTr="00BC711C">
        <w:tc>
          <w:tcPr>
            <w:tcW w:w="3036" w:type="dxa"/>
          </w:tcPr>
          <w:p w14:paraId="407EA497" w14:textId="1C987CE7" w:rsidR="00C21F6A" w:rsidRDefault="00C21F6A" w:rsidP="00C21F6A">
            <w:pPr>
              <w:rPr>
                <w:b/>
                <w:bCs/>
                <w:sz w:val="24"/>
                <w:szCs w:val="24"/>
              </w:rPr>
            </w:pPr>
            <w:r>
              <w:rPr>
                <w:b/>
                <w:bCs/>
                <w:sz w:val="24"/>
                <w:szCs w:val="24"/>
              </w:rPr>
              <w:t>G</w:t>
            </w:r>
            <w:r w:rsidR="005A555A">
              <w:rPr>
                <w:b/>
                <w:bCs/>
                <w:sz w:val="24"/>
                <w:szCs w:val="24"/>
              </w:rPr>
              <w:t>A3</w:t>
            </w:r>
            <w:r>
              <w:rPr>
                <w:b/>
                <w:bCs/>
                <w:sz w:val="24"/>
                <w:szCs w:val="24"/>
              </w:rPr>
              <w:t>:</w:t>
            </w:r>
          </w:p>
          <w:p w14:paraId="3AF9E535" w14:textId="77777777" w:rsidR="00C21F6A" w:rsidRDefault="00C21F6A" w:rsidP="00C21F6A">
            <w:pPr>
              <w:rPr>
                <w:b/>
                <w:bCs/>
                <w:sz w:val="24"/>
                <w:szCs w:val="24"/>
              </w:rPr>
            </w:pPr>
          </w:p>
          <w:p w14:paraId="0D0201B9" w14:textId="557D1776" w:rsidR="00C21F6A" w:rsidRDefault="00C21F6A" w:rsidP="00C21F6A">
            <w:pPr>
              <w:rPr>
                <w:b/>
                <w:bCs/>
                <w:sz w:val="24"/>
                <w:szCs w:val="24"/>
              </w:rPr>
            </w:pPr>
            <w:r w:rsidRPr="000D3AFC">
              <w:rPr>
                <w:b/>
                <w:bCs/>
                <w:sz w:val="24"/>
                <w:szCs w:val="24"/>
              </w:rPr>
              <w:t xml:space="preserve">Self-care </w:t>
            </w:r>
          </w:p>
          <w:p w14:paraId="141479C1" w14:textId="2108BD2C" w:rsidR="00C21F6A" w:rsidRPr="009408A1" w:rsidRDefault="00C21F6A" w:rsidP="00C21F6A">
            <w:pPr>
              <w:autoSpaceDE w:val="0"/>
              <w:autoSpaceDN w:val="0"/>
              <w:adjustRightInd w:val="0"/>
              <w:rPr>
                <w:rFonts w:ascii="Calibri" w:hAnsi="Calibri" w:cs="Calibri"/>
                <w:b/>
                <w:bCs/>
                <w:sz w:val="24"/>
                <w:szCs w:val="24"/>
              </w:rPr>
            </w:pPr>
            <w:r w:rsidRPr="000D3AFC">
              <w:rPr>
                <w:sz w:val="20"/>
                <w:szCs w:val="20"/>
              </w:rPr>
              <w:t xml:space="preserve">(For Nursing Students and Practicing Nurses) </w:t>
            </w:r>
          </w:p>
        </w:tc>
        <w:tc>
          <w:tcPr>
            <w:tcW w:w="3588" w:type="dxa"/>
          </w:tcPr>
          <w:p w14:paraId="674E05D7" w14:textId="77777777" w:rsidR="00C21F6A" w:rsidRPr="005B22CE" w:rsidRDefault="00C21F6A" w:rsidP="00C21F6A">
            <w:pPr>
              <w:rPr>
                <w:sz w:val="20"/>
                <w:szCs w:val="20"/>
              </w:rPr>
            </w:pPr>
            <w:r w:rsidRPr="005B22CE">
              <w:rPr>
                <w:sz w:val="20"/>
                <w:szCs w:val="20"/>
              </w:rPr>
              <w:t>Self-care for nursing students and practicing nurses, AACN Essentials (p. 53):</w:t>
            </w:r>
          </w:p>
          <w:p w14:paraId="37430689" w14:textId="77777777" w:rsidR="00C21F6A" w:rsidRPr="005B22CE" w:rsidRDefault="00C21F6A" w:rsidP="00C21F6A">
            <w:pPr>
              <w:rPr>
                <w:b/>
                <w:bCs/>
                <w:sz w:val="20"/>
                <w:szCs w:val="20"/>
              </w:rPr>
            </w:pPr>
            <w:r w:rsidRPr="005B22CE">
              <w:rPr>
                <w:b/>
                <w:bCs/>
                <w:sz w:val="20"/>
                <w:szCs w:val="20"/>
              </w:rPr>
              <w:t>Competency 10.1</w:t>
            </w:r>
          </w:p>
          <w:p w14:paraId="215E9229" w14:textId="77777777" w:rsidR="00C21F6A" w:rsidRPr="005B22CE" w:rsidRDefault="00C21F6A" w:rsidP="00C21F6A">
            <w:pPr>
              <w:autoSpaceDE w:val="0"/>
              <w:autoSpaceDN w:val="0"/>
              <w:adjustRightInd w:val="0"/>
              <w:rPr>
                <w:rFonts w:ascii="Calibri-Bold" w:hAnsi="Calibri-Bold" w:cs="Calibri-Bold"/>
                <w:sz w:val="21"/>
                <w:szCs w:val="21"/>
              </w:rPr>
            </w:pPr>
            <w:r w:rsidRPr="005B22CE">
              <w:rPr>
                <w:rFonts w:ascii="Calibri-Bold" w:hAnsi="Calibri-Bold" w:cs="Calibri-Bold"/>
                <w:sz w:val="21"/>
                <w:szCs w:val="21"/>
              </w:rPr>
              <w:t>Demonstrate a commitment to personal health and well-being.</w:t>
            </w:r>
          </w:p>
          <w:p w14:paraId="4419E0F2" w14:textId="77777777" w:rsidR="00C21F6A" w:rsidRDefault="00C21F6A" w:rsidP="00C21F6A">
            <w:pPr>
              <w:autoSpaceDE w:val="0"/>
              <w:autoSpaceDN w:val="0"/>
              <w:adjustRightInd w:val="0"/>
              <w:rPr>
                <w:rFonts w:ascii="Calibri" w:hAnsi="Calibri" w:cs="Calibri"/>
                <w:sz w:val="21"/>
                <w:szCs w:val="21"/>
              </w:rPr>
            </w:pPr>
            <w:r>
              <w:rPr>
                <w:rFonts w:ascii="Calibri" w:hAnsi="Calibri" w:cs="Calibri"/>
                <w:sz w:val="21"/>
                <w:szCs w:val="21"/>
              </w:rPr>
              <w:t>10.1a Demonstrate healthy, self-care behaviors that promote wellness and resiliency.</w:t>
            </w:r>
          </w:p>
          <w:p w14:paraId="2FD78AA4" w14:textId="77777777" w:rsidR="00C21F6A" w:rsidRDefault="00C21F6A" w:rsidP="00C21F6A">
            <w:pPr>
              <w:autoSpaceDE w:val="0"/>
              <w:autoSpaceDN w:val="0"/>
              <w:adjustRightInd w:val="0"/>
              <w:rPr>
                <w:rFonts w:ascii="Calibri" w:hAnsi="Calibri" w:cs="Calibri"/>
                <w:sz w:val="21"/>
                <w:szCs w:val="21"/>
              </w:rPr>
            </w:pPr>
            <w:r>
              <w:rPr>
                <w:rFonts w:ascii="Calibri" w:hAnsi="Calibri" w:cs="Calibri"/>
                <w:sz w:val="21"/>
                <w:szCs w:val="21"/>
              </w:rPr>
              <w:t>10.1c Contribute to an environment that promotes self-care, personal health, and well-being.</w:t>
            </w:r>
          </w:p>
          <w:p w14:paraId="7AEE908A" w14:textId="77777777" w:rsidR="00C21F6A" w:rsidRDefault="00C21F6A" w:rsidP="00C21F6A">
            <w:pPr>
              <w:autoSpaceDE w:val="0"/>
              <w:autoSpaceDN w:val="0"/>
              <w:adjustRightInd w:val="0"/>
              <w:rPr>
                <w:rFonts w:ascii="Calibri" w:hAnsi="Calibri" w:cs="Calibri"/>
                <w:sz w:val="21"/>
                <w:szCs w:val="21"/>
              </w:rPr>
            </w:pPr>
            <w:r>
              <w:rPr>
                <w:rFonts w:ascii="Calibri" w:hAnsi="Calibri" w:cs="Calibri"/>
                <w:sz w:val="21"/>
                <w:szCs w:val="21"/>
              </w:rPr>
              <w:t>10.1b Manage conflict between personal and professional responsibilities.</w:t>
            </w:r>
          </w:p>
          <w:p w14:paraId="708FB029" w14:textId="2D2BEB9B" w:rsidR="00C21F6A" w:rsidRPr="004976C9" w:rsidRDefault="00C21F6A" w:rsidP="00C21F6A">
            <w:pPr>
              <w:autoSpaceDE w:val="0"/>
              <w:autoSpaceDN w:val="0"/>
              <w:adjustRightInd w:val="0"/>
              <w:rPr>
                <w:rFonts w:ascii="Calibri" w:hAnsi="Calibri" w:cs="Calibri"/>
                <w:b/>
                <w:bCs/>
                <w:sz w:val="20"/>
                <w:szCs w:val="20"/>
              </w:rPr>
            </w:pPr>
            <w:r>
              <w:rPr>
                <w:rFonts w:ascii="Calibri" w:hAnsi="Calibri" w:cs="Calibri"/>
                <w:sz w:val="21"/>
                <w:szCs w:val="21"/>
              </w:rPr>
              <w:t>10.1d Evaluate the workplace environment to determine level of health and well-being.</w:t>
            </w:r>
          </w:p>
        </w:tc>
        <w:tc>
          <w:tcPr>
            <w:tcW w:w="3277" w:type="dxa"/>
          </w:tcPr>
          <w:p w14:paraId="08FA5B53" w14:textId="77777777" w:rsidR="00C21F6A" w:rsidRDefault="00C21F6A" w:rsidP="00C21F6A">
            <w:pPr>
              <w:rPr>
                <w:rFonts w:cstheme="minorHAnsi"/>
                <w:sz w:val="20"/>
                <w:szCs w:val="20"/>
              </w:rPr>
            </w:pPr>
            <w:r w:rsidRPr="009E59CF">
              <w:rPr>
                <w:rFonts w:cstheme="minorHAnsi"/>
                <w:sz w:val="20"/>
                <w:szCs w:val="20"/>
              </w:rPr>
              <w:t>FONR,</w:t>
            </w:r>
            <w:r>
              <w:rPr>
                <w:rFonts w:cstheme="minorHAnsi"/>
                <w:sz w:val="20"/>
                <w:szCs w:val="20"/>
              </w:rPr>
              <w:t xml:space="preserve"> Chapter 10, </w:t>
            </w:r>
            <w:r w:rsidRPr="009E59CF">
              <w:rPr>
                <w:rFonts w:cstheme="minorHAnsi"/>
                <w:sz w:val="20"/>
                <w:szCs w:val="20"/>
              </w:rPr>
              <w:t xml:space="preserve"> </w:t>
            </w:r>
            <w:r>
              <w:rPr>
                <w:rFonts w:cstheme="minorHAnsi"/>
                <w:sz w:val="20"/>
                <w:szCs w:val="20"/>
              </w:rPr>
              <w:t>“Health and Professional Well-Being of Nurses,” p.301-338.</w:t>
            </w:r>
          </w:p>
          <w:p w14:paraId="078E339B" w14:textId="77777777" w:rsidR="00C21F6A" w:rsidRDefault="00C21F6A" w:rsidP="00C21F6A">
            <w:pPr>
              <w:rPr>
                <w:sz w:val="20"/>
                <w:szCs w:val="20"/>
              </w:rPr>
            </w:pPr>
          </w:p>
          <w:p w14:paraId="755E7A7A" w14:textId="77777777" w:rsidR="00C21F6A" w:rsidRDefault="00C21F6A" w:rsidP="00C21F6A">
            <w:pPr>
              <w:rPr>
                <w:sz w:val="20"/>
                <w:szCs w:val="20"/>
              </w:rPr>
            </w:pPr>
            <w:r w:rsidRPr="00757CE1">
              <w:rPr>
                <w:b/>
                <w:bCs/>
                <w:sz w:val="20"/>
                <w:szCs w:val="20"/>
              </w:rPr>
              <w:t>Please Note:</w:t>
            </w:r>
            <w:r>
              <w:rPr>
                <w:sz w:val="20"/>
                <w:szCs w:val="20"/>
              </w:rPr>
              <w:t xml:space="preserve"> FONR, Chapter 10, “Health and Professional Well-being of Nurses,” p. 329, 2</w:t>
            </w:r>
            <w:r w:rsidRPr="00757CE1">
              <w:rPr>
                <w:sz w:val="20"/>
                <w:szCs w:val="20"/>
                <w:vertAlign w:val="superscript"/>
              </w:rPr>
              <w:t>nd</w:t>
            </w:r>
            <w:r>
              <w:rPr>
                <w:sz w:val="20"/>
                <w:szCs w:val="20"/>
              </w:rPr>
              <w:t xml:space="preserve"> paragraph; “As part of the effort to make well-being an institutional priority, conscious attention is needed to create a culture in which well-being and integrity are not an afterthought but are integrated throughout the curriculum in visible and meaningful ways…”</w:t>
            </w:r>
          </w:p>
          <w:p w14:paraId="448D8ADD" w14:textId="77777777" w:rsidR="00C21F6A" w:rsidRDefault="00C21F6A" w:rsidP="00C21F6A">
            <w:pPr>
              <w:rPr>
                <w:sz w:val="20"/>
                <w:szCs w:val="20"/>
              </w:rPr>
            </w:pPr>
          </w:p>
          <w:p w14:paraId="05151389" w14:textId="77777777" w:rsidR="00C21F6A" w:rsidRDefault="00C21F6A" w:rsidP="00C21F6A">
            <w:pPr>
              <w:rPr>
                <w:sz w:val="20"/>
                <w:szCs w:val="20"/>
              </w:rPr>
            </w:pPr>
            <w:r>
              <w:rPr>
                <w:sz w:val="20"/>
                <w:szCs w:val="20"/>
              </w:rPr>
              <w:t xml:space="preserve">FONR, “Recommendation 3” pp. 362-363. </w:t>
            </w:r>
          </w:p>
          <w:p w14:paraId="149B1AAE" w14:textId="77777777" w:rsidR="00C21F6A" w:rsidRDefault="00C21F6A" w:rsidP="00C21F6A">
            <w:pPr>
              <w:rPr>
                <w:sz w:val="20"/>
                <w:szCs w:val="20"/>
              </w:rPr>
            </w:pPr>
          </w:p>
          <w:p w14:paraId="1D5B499F" w14:textId="77777777" w:rsidR="00C21F6A" w:rsidRPr="009E59CF" w:rsidRDefault="00C21F6A" w:rsidP="00C21F6A">
            <w:pPr>
              <w:rPr>
                <w:sz w:val="20"/>
                <w:szCs w:val="20"/>
              </w:rPr>
            </w:pPr>
            <w:r w:rsidRPr="009E59CF">
              <w:rPr>
                <w:sz w:val="20"/>
                <w:szCs w:val="20"/>
              </w:rPr>
              <w:t xml:space="preserve">FONR, P. 13: </w:t>
            </w:r>
          </w:p>
          <w:p w14:paraId="52242C62" w14:textId="77777777" w:rsidR="00C21F6A" w:rsidRPr="009E59CF" w:rsidRDefault="00C21F6A" w:rsidP="00C21F6A">
            <w:pPr>
              <w:autoSpaceDE w:val="0"/>
              <w:autoSpaceDN w:val="0"/>
              <w:adjustRightInd w:val="0"/>
              <w:rPr>
                <w:rFonts w:cstheme="minorHAnsi"/>
                <w:sz w:val="20"/>
                <w:szCs w:val="20"/>
              </w:rPr>
            </w:pPr>
            <w:r w:rsidRPr="009E59CF">
              <w:rPr>
                <w:rFonts w:cstheme="minorHAnsi"/>
                <w:sz w:val="20"/>
                <w:szCs w:val="20"/>
              </w:rPr>
              <w:lastRenderedPageBreak/>
              <w:t>Recommendation 3: By 2021, nursing education programs, employers, nursing</w:t>
            </w:r>
            <w:r>
              <w:rPr>
                <w:rFonts w:cstheme="minorHAnsi"/>
                <w:sz w:val="20"/>
                <w:szCs w:val="20"/>
              </w:rPr>
              <w:t xml:space="preserve"> </w:t>
            </w:r>
            <w:r w:rsidRPr="009E59CF">
              <w:rPr>
                <w:rFonts w:cstheme="minorHAnsi"/>
                <w:sz w:val="20"/>
                <w:szCs w:val="20"/>
              </w:rPr>
              <w:t>leaders, licensing boards, and nursing organizations should initiate the implementation. of structures, systems, and evidence-based interventions to promote nurses’ health and well-being, especially as they take on new roles to advance health equity.</w:t>
            </w:r>
          </w:p>
          <w:p w14:paraId="50C77A5A" w14:textId="77777777" w:rsidR="00C21F6A" w:rsidRPr="009E59CF" w:rsidRDefault="00C21F6A" w:rsidP="00C21F6A">
            <w:pPr>
              <w:autoSpaceDE w:val="0"/>
              <w:autoSpaceDN w:val="0"/>
              <w:adjustRightInd w:val="0"/>
              <w:rPr>
                <w:rFonts w:cstheme="minorHAnsi"/>
                <w:sz w:val="20"/>
                <w:szCs w:val="20"/>
              </w:rPr>
            </w:pPr>
          </w:p>
          <w:p w14:paraId="0FADA4DE" w14:textId="77777777" w:rsidR="00C21F6A" w:rsidRPr="009E59CF" w:rsidRDefault="00C21F6A" w:rsidP="00C21F6A">
            <w:pPr>
              <w:autoSpaceDE w:val="0"/>
              <w:autoSpaceDN w:val="0"/>
              <w:adjustRightInd w:val="0"/>
              <w:rPr>
                <w:rFonts w:cstheme="minorHAnsi"/>
                <w:sz w:val="20"/>
                <w:szCs w:val="20"/>
              </w:rPr>
            </w:pPr>
            <w:r w:rsidRPr="009E59CF">
              <w:rPr>
                <w:rFonts w:cstheme="minorHAnsi"/>
                <w:sz w:val="20"/>
                <w:szCs w:val="20"/>
              </w:rPr>
              <w:t>FONR, Figure 10-1, “Systems Model of Burn-out and Well-Being,” p. 304.</w:t>
            </w:r>
          </w:p>
          <w:p w14:paraId="139A87C8" w14:textId="77777777" w:rsidR="00C21F6A" w:rsidRDefault="00C21F6A" w:rsidP="00C21F6A">
            <w:pPr>
              <w:autoSpaceDE w:val="0"/>
              <w:autoSpaceDN w:val="0"/>
              <w:adjustRightInd w:val="0"/>
              <w:rPr>
                <w:rFonts w:cstheme="minorHAnsi"/>
                <w:sz w:val="20"/>
                <w:szCs w:val="20"/>
              </w:rPr>
            </w:pPr>
          </w:p>
          <w:p w14:paraId="2A57C0CD" w14:textId="77777777" w:rsidR="00C21F6A" w:rsidRPr="009E59CF" w:rsidRDefault="00C21F6A" w:rsidP="00C21F6A">
            <w:pPr>
              <w:autoSpaceDE w:val="0"/>
              <w:autoSpaceDN w:val="0"/>
              <w:adjustRightInd w:val="0"/>
              <w:rPr>
                <w:rFonts w:cstheme="minorHAnsi"/>
                <w:sz w:val="20"/>
                <w:szCs w:val="20"/>
              </w:rPr>
            </w:pPr>
            <w:r>
              <w:rPr>
                <w:rFonts w:cstheme="minorHAnsi"/>
                <w:sz w:val="20"/>
                <w:szCs w:val="20"/>
              </w:rPr>
              <w:t>FONR, “Recommendations and Research Priorities,” Table 11, “Nurse Well-being: Relevant Areas in Which More Research is Needed,” p. 375.</w:t>
            </w:r>
          </w:p>
          <w:p w14:paraId="536606EF" w14:textId="77777777" w:rsidR="00C21F6A" w:rsidRDefault="00C21F6A" w:rsidP="00C21F6A">
            <w:pPr>
              <w:rPr>
                <w:sz w:val="20"/>
                <w:szCs w:val="20"/>
              </w:rPr>
            </w:pPr>
          </w:p>
        </w:tc>
        <w:tc>
          <w:tcPr>
            <w:tcW w:w="3414" w:type="dxa"/>
          </w:tcPr>
          <w:p w14:paraId="0C24EA5A" w14:textId="038C3458" w:rsidR="00C21F6A" w:rsidRPr="005A555A" w:rsidRDefault="00C21F6A" w:rsidP="00C21F6A">
            <w:pPr>
              <w:rPr>
                <w:b/>
                <w:bCs/>
              </w:rPr>
            </w:pPr>
            <w:r w:rsidRPr="005A555A">
              <w:rPr>
                <w:b/>
                <w:bCs/>
              </w:rPr>
              <w:lastRenderedPageBreak/>
              <w:t>NA</w:t>
            </w:r>
          </w:p>
        </w:tc>
      </w:tr>
      <w:tr w:rsidR="00FC6B65" w14:paraId="6ABF40EF" w14:textId="77777777" w:rsidTr="00BC711C">
        <w:tc>
          <w:tcPr>
            <w:tcW w:w="3036" w:type="dxa"/>
          </w:tcPr>
          <w:p w14:paraId="0AAE85C0" w14:textId="14386075" w:rsidR="00FC6B65" w:rsidRDefault="00FC6B65" w:rsidP="00FC6B65">
            <w:pPr>
              <w:rPr>
                <w:rFonts w:ascii="Calibri-Bold" w:hAnsi="Calibri-Bold" w:cs="Calibri-Bold"/>
                <w:b/>
                <w:bCs/>
                <w:sz w:val="24"/>
                <w:szCs w:val="24"/>
              </w:rPr>
            </w:pPr>
            <w:r>
              <w:rPr>
                <w:rFonts w:ascii="Calibri-Bold" w:hAnsi="Calibri-Bold" w:cs="Calibri-Bold"/>
                <w:b/>
                <w:bCs/>
                <w:sz w:val="24"/>
                <w:szCs w:val="24"/>
              </w:rPr>
              <w:t>G</w:t>
            </w:r>
            <w:r w:rsidR="005A555A">
              <w:rPr>
                <w:rFonts w:ascii="Calibri-Bold" w:hAnsi="Calibri-Bold" w:cs="Calibri-Bold"/>
                <w:b/>
                <w:bCs/>
                <w:sz w:val="24"/>
                <w:szCs w:val="24"/>
              </w:rPr>
              <w:t>A4</w:t>
            </w:r>
            <w:r>
              <w:rPr>
                <w:rFonts w:ascii="Calibri-Bold" w:hAnsi="Calibri-Bold" w:cs="Calibri-Bold"/>
                <w:b/>
                <w:bCs/>
                <w:sz w:val="24"/>
                <w:szCs w:val="24"/>
              </w:rPr>
              <w:t>:</w:t>
            </w:r>
          </w:p>
          <w:p w14:paraId="16626F9C" w14:textId="77777777" w:rsidR="00FC6B65" w:rsidRDefault="00FC6B65" w:rsidP="00FC6B65">
            <w:pPr>
              <w:rPr>
                <w:rFonts w:ascii="Calibri-Bold" w:hAnsi="Calibri-Bold" w:cs="Calibri-Bold"/>
                <w:b/>
                <w:bCs/>
                <w:sz w:val="24"/>
                <w:szCs w:val="24"/>
              </w:rPr>
            </w:pPr>
          </w:p>
          <w:p w14:paraId="3E09E1E2" w14:textId="59606799" w:rsidR="00FC6B65" w:rsidRPr="000D3AFC" w:rsidRDefault="00FC6B65" w:rsidP="00FC6B65">
            <w:pPr>
              <w:rPr>
                <w:rFonts w:ascii="Calibri-Bold" w:hAnsi="Calibri-Bold" w:cs="Calibri-Bold"/>
                <w:b/>
                <w:bCs/>
                <w:sz w:val="24"/>
                <w:szCs w:val="24"/>
              </w:rPr>
            </w:pPr>
            <w:r>
              <w:rPr>
                <w:rFonts w:ascii="Calibri-Bold" w:hAnsi="Calibri-Bold" w:cs="Calibri-Bold"/>
                <w:b/>
                <w:bCs/>
                <w:sz w:val="24"/>
                <w:szCs w:val="24"/>
              </w:rPr>
              <w:t xml:space="preserve"> </w:t>
            </w:r>
            <w:r w:rsidRPr="000D3AFC">
              <w:rPr>
                <w:rFonts w:ascii="Calibri-Bold" w:hAnsi="Calibri-Bold" w:cs="Calibri-Bold"/>
                <w:b/>
                <w:bCs/>
                <w:sz w:val="24"/>
                <w:szCs w:val="24"/>
              </w:rPr>
              <w:t>Disaster Preparedness</w:t>
            </w:r>
          </w:p>
          <w:p w14:paraId="4E35C580" w14:textId="77777777" w:rsidR="00FC6B65" w:rsidRPr="009408A1" w:rsidRDefault="00FC6B65" w:rsidP="00FC6B65">
            <w:pPr>
              <w:autoSpaceDE w:val="0"/>
              <w:autoSpaceDN w:val="0"/>
              <w:adjustRightInd w:val="0"/>
              <w:rPr>
                <w:rFonts w:ascii="Calibri" w:hAnsi="Calibri" w:cs="Calibri"/>
                <w:b/>
                <w:bCs/>
                <w:sz w:val="24"/>
                <w:szCs w:val="24"/>
              </w:rPr>
            </w:pPr>
          </w:p>
        </w:tc>
        <w:tc>
          <w:tcPr>
            <w:tcW w:w="3588" w:type="dxa"/>
          </w:tcPr>
          <w:p w14:paraId="1C2B6954" w14:textId="77777777" w:rsidR="00FC6B65" w:rsidRPr="007E0ED0" w:rsidRDefault="00FC6B65" w:rsidP="00FC6B65">
            <w:pPr>
              <w:autoSpaceDE w:val="0"/>
              <w:autoSpaceDN w:val="0"/>
              <w:adjustRightInd w:val="0"/>
              <w:rPr>
                <w:rFonts w:cstheme="minorHAnsi"/>
                <w:sz w:val="20"/>
                <w:szCs w:val="20"/>
              </w:rPr>
            </w:pPr>
            <w:r w:rsidRPr="007E0ED0">
              <w:rPr>
                <w:rFonts w:cstheme="minorHAnsi"/>
                <w:sz w:val="20"/>
                <w:szCs w:val="20"/>
              </w:rPr>
              <w:t>AACN Essentials, Domain 3.6 (P. 35-36).</w:t>
            </w:r>
          </w:p>
          <w:p w14:paraId="48748745" w14:textId="77777777" w:rsidR="00FC6B65" w:rsidRPr="007E0ED0" w:rsidRDefault="00FC6B65" w:rsidP="00FC6B65">
            <w:pPr>
              <w:autoSpaceDE w:val="0"/>
              <w:autoSpaceDN w:val="0"/>
              <w:adjustRightInd w:val="0"/>
              <w:rPr>
                <w:rFonts w:cstheme="minorHAnsi"/>
                <w:sz w:val="20"/>
                <w:szCs w:val="20"/>
              </w:rPr>
            </w:pPr>
            <w:r w:rsidRPr="007E0ED0">
              <w:rPr>
                <w:rFonts w:cstheme="minorHAnsi"/>
                <w:sz w:val="20"/>
                <w:szCs w:val="20"/>
              </w:rPr>
              <w:t xml:space="preserve">“Advance preparedness to protect population health during disasters and public health emergencies.” </w:t>
            </w:r>
          </w:p>
          <w:p w14:paraId="39762E0B" w14:textId="77777777" w:rsidR="00FC6B65" w:rsidRPr="007E0ED0" w:rsidRDefault="00FC6B65" w:rsidP="00FC6B65">
            <w:pPr>
              <w:autoSpaceDE w:val="0"/>
              <w:autoSpaceDN w:val="0"/>
              <w:adjustRightInd w:val="0"/>
              <w:rPr>
                <w:rFonts w:cstheme="minorHAnsi"/>
                <w:sz w:val="20"/>
                <w:szCs w:val="20"/>
              </w:rPr>
            </w:pPr>
          </w:p>
          <w:p w14:paraId="05D13CE2" w14:textId="77777777" w:rsidR="00FC6B65" w:rsidRPr="007E0ED0" w:rsidRDefault="00FC6B65" w:rsidP="00FC6B65">
            <w:pPr>
              <w:autoSpaceDE w:val="0"/>
              <w:autoSpaceDN w:val="0"/>
              <w:adjustRightInd w:val="0"/>
              <w:rPr>
                <w:rFonts w:cstheme="minorHAnsi"/>
                <w:sz w:val="20"/>
                <w:szCs w:val="20"/>
              </w:rPr>
            </w:pPr>
            <w:r w:rsidRPr="007E0ED0">
              <w:rPr>
                <w:rFonts w:cstheme="minorHAnsi"/>
                <w:sz w:val="20"/>
                <w:szCs w:val="20"/>
              </w:rPr>
              <w:t>See Sub-Competencies for Entry-Level (3.6a- 3.6e)</w:t>
            </w:r>
          </w:p>
          <w:p w14:paraId="7FE6AA92" w14:textId="47195842" w:rsidR="00FC6B65" w:rsidRPr="004976C9" w:rsidRDefault="00FC6B65" w:rsidP="00FC6B65">
            <w:pPr>
              <w:autoSpaceDE w:val="0"/>
              <w:autoSpaceDN w:val="0"/>
              <w:adjustRightInd w:val="0"/>
              <w:rPr>
                <w:rFonts w:ascii="Calibri" w:hAnsi="Calibri" w:cs="Calibri"/>
                <w:b/>
                <w:bCs/>
                <w:sz w:val="20"/>
                <w:szCs w:val="20"/>
              </w:rPr>
            </w:pPr>
            <w:r w:rsidRPr="007E0ED0">
              <w:rPr>
                <w:rFonts w:cstheme="minorHAnsi"/>
                <w:sz w:val="20"/>
                <w:szCs w:val="20"/>
              </w:rPr>
              <w:t>See Sub-competencies for Advanced-Level (3.6f- 3.6j)</w:t>
            </w:r>
          </w:p>
        </w:tc>
        <w:tc>
          <w:tcPr>
            <w:tcW w:w="3277" w:type="dxa"/>
          </w:tcPr>
          <w:p w14:paraId="325BB19F" w14:textId="77777777" w:rsidR="00FC6B65" w:rsidRDefault="00FC6B65" w:rsidP="00FC6B65">
            <w:pPr>
              <w:rPr>
                <w:rFonts w:cstheme="minorHAnsi"/>
                <w:sz w:val="20"/>
                <w:szCs w:val="20"/>
              </w:rPr>
            </w:pPr>
            <w:r>
              <w:rPr>
                <w:rFonts w:cstheme="minorHAnsi"/>
                <w:sz w:val="20"/>
                <w:szCs w:val="20"/>
              </w:rPr>
              <w:t>FONR, Chapter 8, “Nurses in Disaster Preparedness and Public Health Emergency Response,” pp. 247-274.</w:t>
            </w:r>
          </w:p>
          <w:p w14:paraId="02B9EBD8" w14:textId="77777777" w:rsidR="00FC6B65" w:rsidRPr="00CF4F86" w:rsidRDefault="00FC6B65" w:rsidP="00FC6B65">
            <w:pPr>
              <w:rPr>
                <w:b/>
                <w:bCs/>
              </w:rPr>
            </w:pPr>
            <w:r w:rsidRPr="00553EA3">
              <w:rPr>
                <w:rFonts w:cstheme="minorHAnsi"/>
                <w:sz w:val="20"/>
                <w:szCs w:val="20"/>
              </w:rPr>
              <w:t xml:space="preserve">FONR, pp. </w:t>
            </w:r>
            <w:r>
              <w:rPr>
                <w:rFonts w:cstheme="minorHAnsi"/>
                <w:sz w:val="20"/>
                <w:szCs w:val="20"/>
              </w:rPr>
              <w:t>12</w:t>
            </w:r>
            <w:r>
              <w:rPr>
                <w:b/>
                <w:bCs/>
              </w:rPr>
              <w:t xml:space="preserve">: </w:t>
            </w:r>
            <w:r w:rsidRPr="007E0ED0">
              <w:rPr>
                <w:rFonts w:cstheme="minorHAnsi"/>
                <w:sz w:val="20"/>
                <w:szCs w:val="20"/>
              </w:rPr>
              <w:t>Conclusion 8-2: A bold and expansive effort, executed across multiple</w:t>
            </w:r>
          </w:p>
          <w:p w14:paraId="31997118" w14:textId="77777777" w:rsidR="00FC6B65" w:rsidRPr="007E0ED0" w:rsidRDefault="00FC6B65" w:rsidP="00FC6B65">
            <w:pPr>
              <w:autoSpaceDE w:val="0"/>
              <w:autoSpaceDN w:val="0"/>
              <w:adjustRightInd w:val="0"/>
              <w:rPr>
                <w:rFonts w:cstheme="minorHAnsi"/>
                <w:sz w:val="20"/>
                <w:szCs w:val="20"/>
              </w:rPr>
            </w:pPr>
            <w:r w:rsidRPr="007E0ED0">
              <w:rPr>
                <w:rFonts w:cstheme="minorHAnsi"/>
                <w:sz w:val="20"/>
                <w:szCs w:val="20"/>
              </w:rPr>
              <w:t>platforms, will be needed to fully support nurses in becoming prepared</w:t>
            </w:r>
          </w:p>
          <w:p w14:paraId="66948554" w14:textId="77777777" w:rsidR="00FC6B65" w:rsidRPr="007E0ED0" w:rsidRDefault="00FC6B65" w:rsidP="00FC6B65">
            <w:pPr>
              <w:autoSpaceDE w:val="0"/>
              <w:autoSpaceDN w:val="0"/>
              <w:adjustRightInd w:val="0"/>
              <w:rPr>
                <w:rFonts w:cstheme="minorHAnsi"/>
                <w:sz w:val="20"/>
                <w:szCs w:val="20"/>
              </w:rPr>
            </w:pPr>
            <w:r w:rsidRPr="007E0ED0">
              <w:rPr>
                <w:rFonts w:cstheme="minorHAnsi"/>
                <w:sz w:val="20"/>
                <w:szCs w:val="20"/>
              </w:rPr>
              <w:t>for disaster and public health emergency response. It is essential to</w:t>
            </w:r>
          </w:p>
          <w:p w14:paraId="6ACBCFAA" w14:textId="77777777" w:rsidR="00FC6B65" w:rsidRPr="007E0ED0" w:rsidRDefault="00FC6B65" w:rsidP="00FC6B65">
            <w:pPr>
              <w:autoSpaceDE w:val="0"/>
              <w:autoSpaceDN w:val="0"/>
              <w:adjustRightInd w:val="0"/>
              <w:rPr>
                <w:rFonts w:cstheme="minorHAnsi"/>
                <w:sz w:val="20"/>
                <w:szCs w:val="20"/>
              </w:rPr>
            </w:pPr>
            <w:r w:rsidRPr="007E0ED0">
              <w:rPr>
                <w:rFonts w:cstheme="minorHAnsi"/>
                <w:sz w:val="20"/>
                <w:szCs w:val="20"/>
              </w:rPr>
              <w:t>convene experts who can develop a national strategic plan articulating</w:t>
            </w:r>
          </w:p>
          <w:p w14:paraId="27EA9908" w14:textId="77777777" w:rsidR="00FC6B65" w:rsidRPr="007E0ED0" w:rsidRDefault="00FC6B65" w:rsidP="00FC6B65">
            <w:pPr>
              <w:autoSpaceDE w:val="0"/>
              <w:autoSpaceDN w:val="0"/>
              <w:adjustRightInd w:val="0"/>
              <w:rPr>
                <w:rFonts w:cstheme="minorHAnsi"/>
                <w:sz w:val="20"/>
                <w:szCs w:val="20"/>
              </w:rPr>
            </w:pPr>
            <w:r w:rsidRPr="007E0ED0">
              <w:rPr>
                <w:rFonts w:cstheme="minorHAnsi"/>
                <w:sz w:val="20"/>
                <w:szCs w:val="20"/>
              </w:rPr>
              <w:t>the existing deficiencies in this regard and action steps to address them, and, most important, establishing where responsibility will lie for ensuring that those action steps are taken.</w:t>
            </w:r>
          </w:p>
          <w:p w14:paraId="4F2A9288" w14:textId="77777777" w:rsidR="00FC6B65" w:rsidRDefault="00FC6B65" w:rsidP="00FC6B65">
            <w:pPr>
              <w:rPr>
                <w:sz w:val="20"/>
                <w:szCs w:val="20"/>
              </w:rPr>
            </w:pPr>
          </w:p>
        </w:tc>
        <w:tc>
          <w:tcPr>
            <w:tcW w:w="3414" w:type="dxa"/>
          </w:tcPr>
          <w:p w14:paraId="6DFD8D83" w14:textId="77777777" w:rsidR="00FC6B65" w:rsidRPr="00383902" w:rsidRDefault="00FC6B65" w:rsidP="00FC6B65">
            <w:pPr>
              <w:rPr>
                <w:sz w:val="20"/>
                <w:szCs w:val="20"/>
              </w:rPr>
            </w:pPr>
            <w:r w:rsidRPr="00383902">
              <w:rPr>
                <w:sz w:val="20"/>
                <w:szCs w:val="20"/>
              </w:rPr>
              <w:t>Healthy People 2030 (HP) Website (</w:t>
            </w:r>
            <w:hyperlink r:id="rId21" w:history="1">
              <w:r w:rsidRPr="00383902">
                <w:rPr>
                  <w:rStyle w:val="Hyperlink"/>
                  <w:sz w:val="20"/>
                  <w:szCs w:val="20"/>
                </w:rPr>
                <w:t>https://health.gov/healthypeople</w:t>
              </w:r>
            </w:hyperlink>
            <w:r w:rsidRPr="00383902">
              <w:rPr>
                <w:sz w:val="20"/>
                <w:szCs w:val="20"/>
              </w:rPr>
              <w:t xml:space="preserve">), “Developmental Objective: Increase the proportion of adults who have an emergency plan for disasters- PREP D04 ”: </w:t>
            </w:r>
          </w:p>
          <w:p w14:paraId="2F445009" w14:textId="332AD0FA" w:rsidR="00FC6B65" w:rsidRDefault="00FC6B65" w:rsidP="00FC6B65">
            <w:r w:rsidRPr="007E0ED0">
              <w:rPr>
                <w:rStyle w:val="Strong"/>
                <w:rFonts w:cstheme="minorHAnsi"/>
                <w:b w:val="0"/>
                <w:bCs w:val="0"/>
                <w:color w:val="0D1941"/>
                <w:sz w:val="20"/>
                <w:szCs w:val="20"/>
              </w:rPr>
              <w:t>Increase the proportion of adults whose household has an emergency plan that includes instructions for household members, including at-risk persons, about where to go and what to do in the event of a disaster.</w:t>
            </w:r>
          </w:p>
        </w:tc>
      </w:tr>
      <w:tr w:rsidR="00FC6B65" w14:paraId="090ED279" w14:textId="77777777" w:rsidTr="00BC711C">
        <w:tc>
          <w:tcPr>
            <w:tcW w:w="3036" w:type="dxa"/>
          </w:tcPr>
          <w:p w14:paraId="4B627F0D" w14:textId="39C88B85" w:rsidR="00FC6B65" w:rsidRDefault="00FC6B65" w:rsidP="00FC6B65">
            <w:pPr>
              <w:autoSpaceDE w:val="0"/>
              <w:autoSpaceDN w:val="0"/>
              <w:adjustRightInd w:val="0"/>
              <w:rPr>
                <w:b/>
                <w:bCs/>
                <w:sz w:val="24"/>
                <w:szCs w:val="24"/>
              </w:rPr>
            </w:pPr>
            <w:r>
              <w:rPr>
                <w:b/>
                <w:bCs/>
                <w:sz w:val="24"/>
                <w:szCs w:val="24"/>
              </w:rPr>
              <w:lastRenderedPageBreak/>
              <w:t>G</w:t>
            </w:r>
            <w:r w:rsidR="005A555A">
              <w:rPr>
                <w:b/>
                <w:bCs/>
                <w:sz w:val="24"/>
                <w:szCs w:val="24"/>
              </w:rPr>
              <w:t>A5</w:t>
            </w:r>
            <w:r>
              <w:rPr>
                <w:b/>
                <w:bCs/>
                <w:sz w:val="24"/>
                <w:szCs w:val="24"/>
              </w:rPr>
              <w:t>:</w:t>
            </w:r>
          </w:p>
          <w:p w14:paraId="4CF14151" w14:textId="77777777" w:rsidR="00FC6B65" w:rsidRDefault="00FC6B65" w:rsidP="00FC6B65">
            <w:pPr>
              <w:autoSpaceDE w:val="0"/>
              <w:autoSpaceDN w:val="0"/>
              <w:adjustRightInd w:val="0"/>
              <w:rPr>
                <w:b/>
                <w:bCs/>
                <w:sz w:val="24"/>
                <w:szCs w:val="24"/>
              </w:rPr>
            </w:pPr>
          </w:p>
          <w:p w14:paraId="2B2AF183" w14:textId="1CB0FD47" w:rsidR="00FC6B65" w:rsidRPr="009408A1" w:rsidRDefault="00FC6B65" w:rsidP="00FC6B65">
            <w:pPr>
              <w:autoSpaceDE w:val="0"/>
              <w:autoSpaceDN w:val="0"/>
              <w:adjustRightInd w:val="0"/>
              <w:rPr>
                <w:rFonts w:ascii="Calibri" w:hAnsi="Calibri" w:cs="Calibri"/>
                <w:b/>
                <w:bCs/>
                <w:sz w:val="24"/>
                <w:szCs w:val="24"/>
              </w:rPr>
            </w:pPr>
            <w:r w:rsidRPr="000D3AFC">
              <w:rPr>
                <w:b/>
                <w:bCs/>
                <w:sz w:val="24"/>
                <w:szCs w:val="24"/>
              </w:rPr>
              <w:t xml:space="preserve">Competency-based learning and assessment </w:t>
            </w:r>
          </w:p>
        </w:tc>
        <w:tc>
          <w:tcPr>
            <w:tcW w:w="3588" w:type="dxa"/>
          </w:tcPr>
          <w:p w14:paraId="192F0E00" w14:textId="77777777" w:rsidR="00FC6B65" w:rsidRPr="006103FD" w:rsidRDefault="00FC6B65" w:rsidP="00FC6B65">
            <w:pPr>
              <w:rPr>
                <w:sz w:val="20"/>
                <w:szCs w:val="20"/>
              </w:rPr>
            </w:pPr>
            <w:r w:rsidRPr="006103FD">
              <w:rPr>
                <w:sz w:val="20"/>
                <w:szCs w:val="20"/>
              </w:rPr>
              <w:t>AACN Essentials, “Foundational Elements,” p. 2.</w:t>
            </w:r>
          </w:p>
          <w:p w14:paraId="3D38E413" w14:textId="77777777" w:rsidR="00FC6B65" w:rsidRDefault="00FC6B65" w:rsidP="00FC6B65">
            <w:pPr>
              <w:rPr>
                <w:b/>
                <w:bCs/>
                <w:sz w:val="20"/>
                <w:szCs w:val="20"/>
              </w:rPr>
            </w:pPr>
          </w:p>
          <w:p w14:paraId="4A929115" w14:textId="77777777" w:rsidR="00FC6B65" w:rsidRDefault="00FC6B65" w:rsidP="00FC6B65">
            <w:pPr>
              <w:rPr>
                <w:sz w:val="20"/>
                <w:szCs w:val="20"/>
              </w:rPr>
            </w:pPr>
            <w:r w:rsidRPr="006103FD">
              <w:rPr>
                <w:sz w:val="20"/>
                <w:szCs w:val="20"/>
              </w:rPr>
              <w:t>“Competency-Based Education,”(AACN Essentials, pp. 4-5)</w:t>
            </w:r>
          </w:p>
          <w:p w14:paraId="73D4A6D8" w14:textId="77777777" w:rsidR="00FC6B65" w:rsidRDefault="00FC6B65" w:rsidP="00FC6B65">
            <w:pPr>
              <w:rPr>
                <w:sz w:val="20"/>
                <w:szCs w:val="20"/>
              </w:rPr>
            </w:pPr>
          </w:p>
          <w:p w14:paraId="4011B2F7" w14:textId="77777777" w:rsidR="00FC6B65" w:rsidRDefault="00FC6B65" w:rsidP="00FC6B65">
            <w:pPr>
              <w:rPr>
                <w:sz w:val="20"/>
                <w:szCs w:val="20"/>
              </w:rPr>
            </w:pPr>
            <w:r>
              <w:rPr>
                <w:sz w:val="20"/>
                <w:szCs w:val="20"/>
              </w:rPr>
              <w:t>“Domains and Concepts,” P. 10-11.</w:t>
            </w:r>
          </w:p>
          <w:p w14:paraId="020B895F" w14:textId="77777777" w:rsidR="00FC6B65" w:rsidRDefault="00FC6B65" w:rsidP="00FC6B65">
            <w:pPr>
              <w:rPr>
                <w:sz w:val="20"/>
                <w:szCs w:val="20"/>
              </w:rPr>
            </w:pPr>
          </w:p>
          <w:p w14:paraId="0FA1BA9C" w14:textId="77777777" w:rsidR="00FC6B65" w:rsidRPr="006103FD" w:rsidRDefault="00FC6B65" w:rsidP="00FC6B65">
            <w:pPr>
              <w:rPr>
                <w:sz w:val="20"/>
                <w:szCs w:val="20"/>
              </w:rPr>
            </w:pPr>
            <w:r>
              <w:rPr>
                <w:sz w:val="20"/>
                <w:szCs w:val="20"/>
              </w:rPr>
              <w:t>“A New Model for Nursing Education,” p. 16-17.</w:t>
            </w:r>
          </w:p>
          <w:p w14:paraId="4A80B5E2" w14:textId="77777777" w:rsidR="00FC6B65" w:rsidRPr="0083192C" w:rsidRDefault="00FC6B65" w:rsidP="00FC6B65">
            <w:pPr>
              <w:rPr>
                <w:rFonts w:ascii="Calibri" w:hAnsi="Calibri" w:cs="Calibri"/>
                <w:sz w:val="20"/>
                <w:szCs w:val="20"/>
              </w:rPr>
            </w:pPr>
          </w:p>
          <w:p w14:paraId="297FFB65" w14:textId="46CE8D52" w:rsidR="00FC6B65" w:rsidRPr="004976C9" w:rsidRDefault="00FC6B65" w:rsidP="00FC6B65">
            <w:pPr>
              <w:autoSpaceDE w:val="0"/>
              <w:autoSpaceDN w:val="0"/>
              <w:adjustRightInd w:val="0"/>
              <w:rPr>
                <w:rFonts w:ascii="Calibri" w:hAnsi="Calibri" w:cs="Calibri"/>
                <w:b/>
                <w:bCs/>
                <w:sz w:val="20"/>
                <w:szCs w:val="20"/>
              </w:rPr>
            </w:pPr>
            <w:r w:rsidRPr="0083192C">
              <w:rPr>
                <w:rFonts w:ascii="Calibri" w:hAnsi="Calibri" w:cs="Calibri"/>
                <w:sz w:val="20"/>
                <w:szCs w:val="20"/>
              </w:rPr>
              <w:t>See AACN Essentials Document for further information</w:t>
            </w:r>
            <w:r>
              <w:rPr>
                <w:rFonts w:ascii="Calibri" w:hAnsi="Calibri" w:cs="Calibri"/>
                <w:sz w:val="20"/>
                <w:szCs w:val="20"/>
              </w:rPr>
              <w:t xml:space="preserve"> and specific listing of skills and competencies</w:t>
            </w:r>
            <w:r w:rsidRPr="0083192C">
              <w:rPr>
                <w:rFonts w:ascii="Calibri" w:hAnsi="Calibri" w:cs="Calibri"/>
                <w:sz w:val="20"/>
                <w:szCs w:val="20"/>
              </w:rPr>
              <w:t>.</w:t>
            </w:r>
          </w:p>
        </w:tc>
        <w:tc>
          <w:tcPr>
            <w:tcW w:w="3277" w:type="dxa"/>
          </w:tcPr>
          <w:p w14:paraId="7D10640B" w14:textId="77777777" w:rsidR="00FC6B65" w:rsidRDefault="00FC6B65" w:rsidP="00FC6B65">
            <w:pPr>
              <w:rPr>
                <w:b/>
                <w:bCs/>
                <w:sz w:val="20"/>
                <w:szCs w:val="20"/>
              </w:rPr>
            </w:pPr>
            <w:r w:rsidRPr="00383902">
              <w:rPr>
                <w:b/>
                <w:bCs/>
                <w:sz w:val="20"/>
                <w:szCs w:val="20"/>
              </w:rPr>
              <w:t xml:space="preserve">Statement </w:t>
            </w:r>
            <w:r>
              <w:rPr>
                <w:b/>
                <w:bCs/>
                <w:sz w:val="20"/>
                <w:szCs w:val="20"/>
              </w:rPr>
              <w:t>of Task, Box 1-2, FONR, pp. 24-25:</w:t>
            </w:r>
          </w:p>
          <w:p w14:paraId="2DDC0C23" w14:textId="78DAF15B" w:rsidR="00FC6B65" w:rsidRDefault="00FC6B65" w:rsidP="00FC6B65">
            <w:pPr>
              <w:rPr>
                <w:sz w:val="20"/>
                <w:szCs w:val="20"/>
              </w:rPr>
            </w:pPr>
            <w:r>
              <w:rPr>
                <w:sz w:val="20"/>
                <w:szCs w:val="20"/>
              </w:rPr>
              <w:t>“</w:t>
            </w:r>
            <w:r w:rsidRPr="00FC5DBC">
              <w:rPr>
                <w:sz w:val="20"/>
                <w:szCs w:val="20"/>
              </w:rPr>
              <w:t>The committee will consider the following</w:t>
            </w:r>
            <w:r>
              <w:rPr>
                <w:sz w:val="20"/>
                <w:szCs w:val="20"/>
              </w:rPr>
              <w:t>…the training and competency development skills needed to prepare nurses, including advanced practice nurses, to work outside of acute care settings and to lead efforts to build a culture of health and health equity, and the extent to which curricula meets those needs…”</w:t>
            </w:r>
          </w:p>
        </w:tc>
        <w:tc>
          <w:tcPr>
            <w:tcW w:w="3414" w:type="dxa"/>
          </w:tcPr>
          <w:p w14:paraId="6DCA6843" w14:textId="026A178A" w:rsidR="00FC6B65" w:rsidRPr="005A555A" w:rsidRDefault="00FC6B65" w:rsidP="00FC6B65">
            <w:pPr>
              <w:rPr>
                <w:b/>
                <w:bCs/>
              </w:rPr>
            </w:pPr>
            <w:r w:rsidRPr="005A555A">
              <w:rPr>
                <w:b/>
                <w:bCs/>
              </w:rPr>
              <w:t>NA</w:t>
            </w:r>
          </w:p>
        </w:tc>
      </w:tr>
      <w:tr w:rsidR="009B07D1" w14:paraId="5B74A9AA" w14:textId="77777777" w:rsidTr="00BC711C">
        <w:tc>
          <w:tcPr>
            <w:tcW w:w="3036" w:type="dxa"/>
          </w:tcPr>
          <w:p w14:paraId="3379A981" w14:textId="096D9D31" w:rsidR="009B07D1" w:rsidRDefault="009B07D1" w:rsidP="009B07D1">
            <w:pPr>
              <w:rPr>
                <w:b/>
                <w:bCs/>
                <w:sz w:val="24"/>
                <w:szCs w:val="24"/>
              </w:rPr>
            </w:pPr>
            <w:r>
              <w:rPr>
                <w:b/>
                <w:bCs/>
                <w:sz w:val="24"/>
                <w:szCs w:val="24"/>
              </w:rPr>
              <w:t>G</w:t>
            </w:r>
            <w:r w:rsidR="005A555A">
              <w:rPr>
                <w:b/>
                <w:bCs/>
                <w:sz w:val="24"/>
                <w:szCs w:val="24"/>
              </w:rPr>
              <w:t>A6</w:t>
            </w:r>
            <w:r>
              <w:rPr>
                <w:b/>
                <w:bCs/>
                <w:sz w:val="24"/>
                <w:szCs w:val="24"/>
              </w:rPr>
              <w:t>:</w:t>
            </w:r>
          </w:p>
          <w:p w14:paraId="0DA9EC94" w14:textId="77777777" w:rsidR="009B07D1" w:rsidRDefault="009B07D1" w:rsidP="009B07D1">
            <w:pPr>
              <w:rPr>
                <w:b/>
                <w:bCs/>
                <w:sz w:val="24"/>
                <w:szCs w:val="24"/>
              </w:rPr>
            </w:pPr>
          </w:p>
          <w:p w14:paraId="45ED6125" w14:textId="42194ED3" w:rsidR="009B07D1" w:rsidRPr="000D3AFC" w:rsidRDefault="009B07D1" w:rsidP="009B07D1">
            <w:pPr>
              <w:rPr>
                <w:b/>
                <w:bCs/>
                <w:sz w:val="24"/>
                <w:szCs w:val="24"/>
              </w:rPr>
            </w:pPr>
            <w:r w:rsidRPr="000D3AFC">
              <w:rPr>
                <w:b/>
                <w:bCs/>
                <w:sz w:val="24"/>
                <w:szCs w:val="24"/>
              </w:rPr>
              <w:t>Cultural Humility</w:t>
            </w:r>
            <w:r>
              <w:rPr>
                <w:b/>
                <w:bCs/>
                <w:sz w:val="24"/>
                <w:szCs w:val="24"/>
              </w:rPr>
              <w:t xml:space="preserve"> and</w:t>
            </w:r>
          </w:p>
          <w:p w14:paraId="4D085F85" w14:textId="3EB4A5A7" w:rsidR="009B07D1" w:rsidRPr="009408A1" w:rsidRDefault="009B07D1" w:rsidP="009B07D1">
            <w:pPr>
              <w:autoSpaceDE w:val="0"/>
              <w:autoSpaceDN w:val="0"/>
              <w:adjustRightInd w:val="0"/>
              <w:rPr>
                <w:rFonts w:ascii="Calibri" w:hAnsi="Calibri" w:cs="Calibri"/>
                <w:b/>
                <w:bCs/>
                <w:sz w:val="24"/>
                <w:szCs w:val="24"/>
              </w:rPr>
            </w:pPr>
            <w:r w:rsidRPr="000D3AFC">
              <w:rPr>
                <w:b/>
                <w:bCs/>
                <w:sz w:val="24"/>
                <w:szCs w:val="24"/>
              </w:rPr>
              <w:t>Cultural Competency</w:t>
            </w:r>
          </w:p>
        </w:tc>
        <w:tc>
          <w:tcPr>
            <w:tcW w:w="3588" w:type="dxa"/>
          </w:tcPr>
          <w:p w14:paraId="3343D002" w14:textId="77777777" w:rsidR="009B07D1" w:rsidRPr="00AA43A1" w:rsidRDefault="009B07D1" w:rsidP="009B07D1">
            <w:pPr>
              <w:autoSpaceDE w:val="0"/>
              <w:autoSpaceDN w:val="0"/>
              <w:adjustRightInd w:val="0"/>
              <w:rPr>
                <w:rFonts w:ascii="Calibri" w:hAnsi="Calibri" w:cs="Calibri"/>
                <w:sz w:val="20"/>
                <w:szCs w:val="20"/>
              </w:rPr>
            </w:pPr>
            <w:r w:rsidRPr="00AA43A1">
              <w:rPr>
                <w:rFonts w:ascii="Calibri" w:hAnsi="Calibri" w:cs="Calibri"/>
                <w:sz w:val="20"/>
                <w:szCs w:val="20"/>
              </w:rPr>
              <w:t>See AACN Essentials, P. 57:</w:t>
            </w:r>
          </w:p>
          <w:p w14:paraId="4B8FBC7C" w14:textId="77777777" w:rsidR="009B07D1" w:rsidRPr="00AA43A1" w:rsidRDefault="009B07D1" w:rsidP="009B07D1">
            <w:pPr>
              <w:autoSpaceDE w:val="0"/>
              <w:autoSpaceDN w:val="0"/>
              <w:adjustRightInd w:val="0"/>
              <w:rPr>
                <w:rFonts w:ascii="Calibri-Bold" w:hAnsi="Calibri-Bold" w:cs="Calibri-Bold"/>
                <w:sz w:val="20"/>
                <w:szCs w:val="20"/>
              </w:rPr>
            </w:pPr>
            <w:r w:rsidRPr="00AA43A1">
              <w:rPr>
                <w:rFonts w:ascii="Calibri-Bold" w:hAnsi="Calibri-Bold" w:cs="Calibri-Bold"/>
                <w:sz w:val="20"/>
                <w:szCs w:val="20"/>
              </w:rPr>
              <w:t xml:space="preserve">Cultural humility: </w:t>
            </w:r>
            <w:r w:rsidRPr="00AA43A1">
              <w:rPr>
                <w:rFonts w:ascii="Calibri" w:hAnsi="Calibri" w:cs="Calibri"/>
                <w:sz w:val="20"/>
                <w:szCs w:val="20"/>
              </w:rPr>
              <w:t>A lifelong process of self-reflection and self-critique whereby the individual not only learns about another’s culture, but also examines her/his own beliefs and cultural identities</w:t>
            </w:r>
            <w:r w:rsidRPr="00AA43A1">
              <w:rPr>
                <w:rFonts w:ascii="Calibri-Bold" w:hAnsi="Calibri-Bold" w:cs="Calibri-Bold"/>
                <w:sz w:val="20"/>
                <w:szCs w:val="20"/>
              </w:rPr>
              <w:t>.</w:t>
            </w:r>
          </w:p>
          <w:p w14:paraId="643EC021" w14:textId="77777777" w:rsidR="009B07D1" w:rsidRPr="00382814" w:rsidRDefault="009B07D1" w:rsidP="009B07D1">
            <w:pPr>
              <w:autoSpaceDE w:val="0"/>
              <w:autoSpaceDN w:val="0"/>
              <w:adjustRightInd w:val="0"/>
              <w:rPr>
                <w:rFonts w:cstheme="minorHAnsi"/>
                <w:sz w:val="20"/>
                <w:szCs w:val="20"/>
              </w:rPr>
            </w:pPr>
            <w:r w:rsidRPr="00AA43A1">
              <w:rPr>
                <w:rFonts w:cstheme="minorHAnsi"/>
                <w:sz w:val="20"/>
                <w:szCs w:val="20"/>
              </w:rPr>
              <w:t>Cultural competence: The ability</w:t>
            </w:r>
            <w:r w:rsidRPr="00382814">
              <w:rPr>
                <w:rFonts w:cstheme="minorHAnsi"/>
                <w:sz w:val="20"/>
                <w:szCs w:val="20"/>
              </w:rPr>
              <w:t xml:space="preserve"> to effectively work within the client’s cultural context.</w:t>
            </w:r>
            <w:r>
              <w:rPr>
                <w:rFonts w:cstheme="minorHAnsi"/>
                <w:sz w:val="20"/>
                <w:szCs w:val="20"/>
              </w:rPr>
              <w:t xml:space="preserve"> </w:t>
            </w:r>
            <w:r w:rsidRPr="00382814">
              <w:rPr>
                <w:rFonts w:cstheme="minorHAnsi"/>
                <w:sz w:val="20"/>
                <w:szCs w:val="20"/>
              </w:rPr>
              <w:t>Structural competence is recognition of the economic and political conditions that produce</w:t>
            </w:r>
          </w:p>
          <w:p w14:paraId="55454D7A" w14:textId="565D9F15" w:rsidR="009B07D1" w:rsidRPr="004976C9" w:rsidRDefault="009B07D1" w:rsidP="009B07D1">
            <w:pPr>
              <w:autoSpaceDE w:val="0"/>
              <w:autoSpaceDN w:val="0"/>
              <w:adjustRightInd w:val="0"/>
              <w:rPr>
                <w:rFonts w:ascii="Calibri" w:hAnsi="Calibri" w:cs="Calibri"/>
                <w:b/>
                <w:bCs/>
                <w:sz w:val="20"/>
                <w:szCs w:val="20"/>
              </w:rPr>
            </w:pPr>
            <w:r w:rsidRPr="00382814">
              <w:rPr>
                <w:rFonts w:cstheme="minorHAnsi"/>
                <w:sz w:val="20"/>
                <w:szCs w:val="20"/>
              </w:rPr>
              <w:t>health inequalities in the first place. It is the ability to understand how</w:t>
            </w:r>
            <w:r>
              <w:rPr>
                <w:rFonts w:cstheme="minorHAnsi"/>
                <w:sz w:val="20"/>
                <w:szCs w:val="20"/>
              </w:rPr>
              <w:t xml:space="preserve"> </w:t>
            </w:r>
            <w:r w:rsidRPr="00382814">
              <w:rPr>
                <w:rFonts w:cstheme="minorHAnsi"/>
                <w:sz w:val="20"/>
                <w:szCs w:val="20"/>
              </w:rPr>
              <w:t>institutions, markets,</w:t>
            </w:r>
            <w:r>
              <w:rPr>
                <w:rFonts w:cstheme="minorHAnsi"/>
                <w:sz w:val="20"/>
                <w:szCs w:val="20"/>
              </w:rPr>
              <w:t xml:space="preserve"> </w:t>
            </w:r>
            <w:r w:rsidRPr="00382814">
              <w:rPr>
                <w:rFonts w:cstheme="minorHAnsi"/>
                <w:sz w:val="20"/>
                <w:szCs w:val="20"/>
              </w:rPr>
              <w:t>or healthcare delivery systems shape symptom presentations and to mobilize for correction of</w:t>
            </w:r>
            <w:r>
              <w:rPr>
                <w:rFonts w:cstheme="minorHAnsi"/>
                <w:sz w:val="20"/>
                <w:szCs w:val="20"/>
              </w:rPr>
              <w:t xml:space="preserve"> </w:t>
            </w:r>
            <w:r w:rsidRPr="00382814">
              <w:rPr>
                <w:rFonts w:cstheme="minorHAnsi"/>
                <w:sz w:val="20"/>
                <w:szCs w:val="20"/>
              </w:rPr>
              <w:t>health and wealth inequalities in society</w:t>
            </w:r>
            <w:r>
              <w:rPr>
                <w:rFonts w:cstheme="minorHAnsi"/>
                <w:sz w:val="20"/>
                <w:szCs w:val="20"/>
              </w:rPr>
              <w:t>…</w:t>
            </w:r>
          </w:p>
        </w:tc>
        <w:tc>
          <w:tcPr>
            <w:tcW w:w="3277" w:type="dxa"/>
          </w:tcPr>
          <w:p w14:paraId="60ACD473" w14:textId="77777777" w:rsidR="009B07D1" w:rsidRPr="00AA43A1" w:rsidRDefault="009B07D1" w:rsidP="009B07D1">
            <w:pPr>
              <w:rPr>
                <w:sz w:val="20"/>
                <w:szCs w:val="20"/>
              </w:rPr>
            </w:pPr>
            <w:r w:rsidRPr="00AA43A1">
              <w:rPr>
                <w:sz w:val="20"/>
                <w:szCs w:val="20"/>
              </w:rPr>
              <w:t>See FONR, “Cultural Humility,” pp. 116-117.</w:t>
            </w:r>
          </w:p>
          <w:p w14:paraId="615F283A" w14:textId="77777777" w:rsidR="009B07D1" w:rsidRPr="00AA43A1" w:rsidRDefault="009B07D1" w:rsidP="009B07D1">
            <w:pPr>
              <w:rPr>
                <w:sz w:val="20"/>
                <w:szCs w:val="20"/>
              </w:rPr>
            </w:pPr>
          </w:p>
          <w:p w14:paraId="1A971ADB" w14:textId="77777777" w:rsidR="009B07D1" w:rsidRDefault="009B07D1" w:rsidP="009B07D1">
            <w:pPr>
              <w:rPr>
                <w:sz w:val="20"/>
                <w:szCs w:val="20"/>
              </w:rPr>
            </w:pPr>
            <w:r w:rsidRPr="00AA43A1">
              <w:rPr>
                <w:sz w:val="20"/>
                <w:szCs w:val="20"/>
              </w:rPr>
              <w:t>See FONR, “The Need for Integration of Social Determinants of Health and Health Equity into Nursing Education,” pp. 198-199 for discussion of Cultural Competency and Cultural Humility.</w:t>
            </w:r>
          </w:p>
          <w:p w14:paraId="31EDF89C" w14:textId="77777777" w:rsidR="009B07D1" w:rsidRDefault="009B07D1" w:rsidP="009B07D1">
            <w:pPr>
              <w:rPr>
                <w:sz w:val="20"/>
                <w:szCs w:val="20"/>
              </w:rPr>
            </w:pPr>
          </w:p>
          <w:p w14:paraId="1167433B" w14:textId="77777777" w:rsidR="009B07D1" w:rsidRDefault="009B07D1" w:rsidP="009B07D1">
            <w:pPr>
              <w:rPr>
                <w:sz w:val="20"/>
                <w:szCs w:val="20"/>
              </w:rPr>
            </w:pPr>
            <w:r>
              <w:rPr>
                <w:sz w:val="20"/>
                <w:szCs w:val="20"/>
              </w:rPr>
              <w:t>See FONR, Box 7.3, Bullet 5, p. 205.</w:t>
            </w:r>
          </w:p>
          <w:p w14:paraId="418AD7A5" w14:textId="77777777" w:rsidR="009B07D1" w:rsidRDefault="009B07D1" w:rsidP="009B07D1">
            <w:pPr>
              <w:rPr>
                <w:b/>
                <w:bCs/>
                <w:sz w:val="20"/>
                <w:szCs w:val="20"/>
              </w:rPr>
            </w:pPr>
          </w:p>
          <w:p w14:paraId="5EBA2B31" w14:textId="067FAB0A" w:rsidR="009B07D1" w:rsidRDefault="009B07D1" w:rsidP="009B07D1">
            <w:pPr>
              <w:rPr>
                <w:sz w:val="20"/>
                <w:szCs w:val="20"/>
              </w:rPr>
            </w:pPr>
            <w:r>
              <w:rPr>
                <w:b/>
                <w:bCs/>
                <w:sz w:val="20"/>
                <w:szCs w:val="20"/>
              </w:rPr>
              <w:t>See FONR, “Cultural Humility,” p. 206.</w:t>
            </w:r>
          </w:p>
        </w:tc>
        <w:tc>
          <w:tcPr>
            <w:tcW w:w="3414" w:type="dxa"/>
          </w:tcPr>
          <w:p w14:paraId="6AD146CB" w14:textId="77777777" w:rsidR="009B07D1" w:rsidRDefault="009B07D1" w:rsidP="009B07D1">
            <w:pPr>
              <w:rPr>
                <w:rFonts w:cstheme="minorHAnsi"/>
                <w:color w:val="0D1941"/>
                <w:sz w:val="20"/>
                <w:szCs w:val="20"/>
              </w:rPr>
            </w:pPr>
            <w:r>
              <w:rPr>
                <w:rFonts w:cstheme="minorHAnsi"/>
                <w:color w:val="0D1941"/>
                <w:sz w:val="20"/>
                <w:szCs w:val="20"/>
              </w:rPr>
              <w:t xml:space="preserve">See “Understanding Access to Health Services” on </w:t>
            </w:r>
            <w:r w:rsidRPr="00383902">
              <w:rPr>
                <w:sz w:val="20"/>
                <w:szCs w:val="20"/>
              </w:rPr>
              <w:t>Healthy People 2030 (HP) Website</w:t>
            </w:r>
            <w:r>
              <w:rPr>
                <w:sz w:val="20"/>
                <w:szCs w:val="20"/>
              </w:rPr>
              <w:t xml:space="preserve">: </w:t>
            </w:r>
            <w:r w:rsidRPr="00383902">
              <w:rPr>
                <w:sz w:val="20"/>
                <w:szCs w:val="20"/>
              </w:rPr>
              <w:t>(</w:t>
            </w:r>
            <w:hyperlink r:id="rId22" w:history="1">
              <w:r w:rsidRPr="00383902">
                <w:rPr>
                  <w:rStyle w:val="Hyperlink"/>
                  <w:sz w:val="20"/>
                  <w:szCs w:val="20"/>
                </w:rPr>
                <w:t>https://health.gov/healthypeople</w:t>
              </w:r>
            </w:hyperlink>
            <w:r>
              <w:rPr>
                <w:rFonts w:cstheme="minorHAnsi"/>
                <w:color w:val="0D1941"/>
                <w:sz w:val="20"/>
                <w:szCs w:val="20"/>
              </w:rPr>
              <w:t xml:space="preserve">  </w:t>
            </w:r>
          </w:p>
          <w:p w14:paraId="7995C15E" w14:textId="77777777" w:rsidR="009B07D1" w:rsidRDefault="009B07D1" w:rsidP="009B07D1">
            <w:pPr>
              <w:rPr>
                <w:rFonts w:cstheme="minorHAnsi"/>
                <w:color w:val="0D1941"/>
                <w:sz w:val="20"/>
                <w:szCs w:val="20"/>
              </w:rPr>
            </w:pPr>
            <w:r>
              <w:rPr>
                <w:rFonts w:cstheme="minorHAnsi"/>
                <w:color w:val="0D1941"/>
                <w:sz w:val="20"/>
                <w:szCs w:val="20"/>
              </w:rPr>
              <w:t>in “</w:t>
            </w:r>
            <w:r>
              <w:rPr>
                <w:rFonts w:cstheme="minorHAnsi"/>
                <w:b/>
                <w:bCs/>
                <w:color w:val="0D1941"/>
                <w:sz w:val="20"/>
                <w:szCs w:val="20"/>
              </w:rPr>
              <w:t>About the Workgroup-Approaches and Rationale:”</w:t>
            </w:r>
            <w:r>
              <w:rPr>
                <w:rFonts w:cstheme="minorHAnsi"/>
                <w:color w:val="0D1941"/>
                <w:sz w:val="20"/>
                <w:szCs w:val="20"/>
              </w:rPr>
              <w:t xml:space="preserve"> </w:t>
            </w:r>
          </w:p>
          <w:p w14:paraId="2717E9E4" w14:textId="01283B72" w:rsidR="009B07D1" w:rsidRDefault="009B07D1" w:rsidP="009B07D1">
            <w:r>
              <w:rPr>
                <w:rFonts w:cstheme="minorHAnsi"/>
                <w:color w:val="0D1941"/>
                <w:sz w:val="20"/>
                <w:szCs w:val="20"/>
              </w:rPr>
              <w:t>“</w:t>
            </w:r>
            <w:r w:rsidRPr="00AA43A1">
              <w:rPr>
                <w:rFonts w:cstheme="minorHAnsi"/>
                <w:color w:val="0D1941"/>
                <w:sz w:val="20"/>
                <w:szCs w:val="20"/>
              </w:rPr>
              <w:t>Barriers to access typically include the high cost of care, inadequate or no insurance coverage, and a lack of available services (geographically or remotely), especially culturally competent care. These barriers can lead to unmet health needs, delays in receiving appropriate care, an inability to get preventive services, preventable hospitalizations, and financial burdens. Access to care often varies by race/ethnicity, socioeconomic status, age, sex, disability status, sexual orientation, gender identity, and residential location</w:t>
            </w:r>
            <w:r>
              <w:rPr>
                <w:rFonts w:cstheme="minorHAnsi"/>
                <w:color w:val="0D1941"/>
                <w:sz w:val="20"/>
                <w:szCs w:val="20"/>
              </w:rPr>
              <w:t>.”</w:t>
            </w:r>
            <w:r w:rsidRPr="00AA43A1">
              <w:rPr>
                <w:rFonts w:cstheme="minorHAnsi"/>
                <w:sz w:val="20"/>
                <w:szCs w:val="20"/>
              </w:rPr>
              <w:t xml:space="preserve"> </w:t>
            </w:r>
          </w:p>
        </w:tc>
      </w:tr>
      <w:tr w:rsidR="007C2647" w14:paraId="52DA7E26" w14:textId="77777777" w:rsidTr="00BC711C">
        <w:tc>
          <w:tcPr>
            <w:tcW w:w="3036" w:type="dxa"/>
          </w:tcPr>
          <w:p w14:paraId="5826396C" w14:textId="68AA180A" w:rsidR="007C2647" w:rsidRDefault="007C2647" w:rsidP="007C2647">
            <w:pPr>
              <w:rPr>
                <w:b/>
                <w:bCs/>
                <w:sz w:val="24"/>
                <w:szCs w:val="24"/>
              </w:rPr>
            </w:pPr>
            <w:r>
              <w:rPr>
                <w:b/>
                <w:bCs/>
                <w:sz w:val="24"/>
                <w:szCs w:val="24"/>
              </w:rPr>
              <w:t>G</w:t>
            </w:r>
            <w:r w:rsidR="005A555A">
              <w:rPr>
                <w:b/>
                <w:bCs/>
                <w:sz w:val="24"/>
                <w:szCs w:val="24"/>
              </w:rPr>
              <w:t>A7</w:t>
            </w:r>
            <w:r>
              <w:rPr>
                <w:b/>
                <w:bCs/>
                <w:sz w:val="24"/>
                <w:szCs w:val="24"/>
              </w:rPr>
              <w:t>:</w:t>
            </w:r>
          </w:p>
          <w:p w14:paraId="0C6D348B" w14:textId="77777777" w:rsidR="007C2647" w:rsidRDefault="007C2647" w:rsidP="007C2647">
            <w:pPr>
              <w:rPr>
                <w:b/>
                <w:bCs/>
                <w:sz w:val="24"/>
                <w:szCs w:val="24"/>
              </w:rPr>
            </w:pPr>
          </w:p>
          <w:p w14:paraId="4F1AF102" w14:textId="302009D7" w:rsidR="007C2647" w:rsidRDefault="007C2647" w:rsidP="007C2647">
            <w:pPr>
              <w:rPr>
                <w:b/>
                <w:bCs/>
                <w:sz w:val="24"/>
                <w:szCs w:val="24"/>
              </w:rPr>
            </w:pPr>
            <w:r w:rsidRPr="000D3AFC">
              <w:rPr>
                <w:b/>
                <w:bCs/>
                <w:sz w:val="24"/>
                <w:szCs w:val="24"/>
              </w:rPr>
              <w:lastRenderedPageBreak/>
              <w:t>Expected Skill sets for entry-level and advanced level education are outlined in all Domains/Competencies</w:t>
            </w:r>
          </w:p>
        </w:tc>
        <w:tc>
          <w:tcPr>
            <w:tcW w:w="3588" w:type="dxa"/>
          </w:tcPr>
          <w:p w14:paraId="332672EC" w14:textId="77777777" w:rsidR="007C2647" w:rsidRDefault="007C2647" w:rsidP="007C2647">
            <w:pPr>
              <w:autoSpaceDE w:val="0"/>
              <w:autoSpaceDN w:val="0"/>
              <w:adjustRightInd w:val="0"/>
              <w:rPr>
                <w:sz w:val="20"/>
                <w:szCs w:val="20"/>
              </w:rPr>
            </w:pPr>
            <w:r>
              <w:rPr>
                <w:b/>
                <w:bCs/>
                <w:sz w:val="20"/>
                <w:szCs w:val="20"/>
              </w:rPr>
              <w:lastRenderedPageBreak/>
              <w:t xml:space="preserve">Domains and Competencies </w:t>
            </w:r>
            <w:r>
              <w:rPr>
                <w:sz w:val="20"/>
                <w:szCs w:val="20"/>
              </w:rPr>
              <w:t>remain the same for entry-level and advanced level nursing.  There are distinct</w:t>
            </w:r>
            <w:r>
              <w:rPr>
                <w:b/>
                <w:bCs/>
                <w:sz w:val="20"/>
                <w:szCs w:val="20"/>
              </w:rPr>
              <w:t xml:space="preserve"> Sub-</w:t>
            </w:r>
            <w:r>
              <w:rPr>
                <w:b/>
                <w:bCs/>
                <w:sz w:val="20"/>
                <w:szCs w:val="20"/>
              </w:rPr>
              <w:lastRenderedPageBreak/>
              <w:t xml:space="preserve">Competencies </w:t>
            </w:r>
            <w:r>
              <w:rPr>
                <w:sz w:val="20"/>
                <w:szCs w:val="20"/>
              </w:rPr>
              <w:t xml:space="preserve">for entry versus advanced level education and practice which can be found on pages 27-54 of the AACN Essentials document. </w:t>
            </w:r>
          </w:p>
          <w:p w14:paraId="65139E93" w14:textId="77777777" w:rsidR="007C2647" w:rsidRDefault="007C2647" w:rsidP="007C2647">
            <w:pPr>
              <w:autoSpaceDE w:val="0"/>
              <w:autoSpaceDN w:val="0"/>
              <w:adjustRightInd w:val="0"/>
              <w:rPr>
                <w:sz w:val="20"/>
                <w:szCs w:val="20"/>
              </w:rPr>
            </w:pPr>
          </w:p>
          <w:p w14:paraId="579CB6C9" w14:textId="3CB75B3F" w:rsidR="007C2647" w:rsidRPr="00AA43A1" w:rsidRDefault="007C2647" w:rsidP="007C2647">
            <w:pPr>
              <w:autoSpaceDE w:val="0"/>
              <w:autoSpaceDN w:val="0"/>
              <w:adjustRightInd w:val="0"/>
              <w:rPr>
                <w:rFonts w:ascii="Calibri" w:hAnsi="Calibri" w:cs="Calibri"/>
                <w:sz w:val="20"/>
                <w:szCs w:val="20"/>
              </w:rPr>
            </w:pPr>
            <w:r>
              <w:rPr>
                <w:sz w:val="20"/>
                <w:szCs w:val="20"/>
              </w:rPr>
              <w:t>*In regard to Advanced-Level Education,</w:t>
            </w:r>
            <w:r w:rsidRPr="0083192C">
              <w:rPr>
                <w:rFonts w:ascii="Calibri" w:hAnsi="Calibri" w:cs="Calibri"/>
                <w:sz w:val="20"/>
                <w:szCs w:val="20"/>
              </w:rPr>
              <w:t xml:space="preserve"> </w:t>
            </w:r>
            <w:r>
              <w:rPr>
                <w:rFonts w:ascii="Calibri" w:hAnsi="Calibri" w:cs="Calibri"/>
                <w:sz w:val="20"/>
                <w:szCs w:val="20"/>
              </w:rPr>
              <w:t>it is important to ensure</w:t>
            </w:r>
            <w:r w:rsidRPr="0083192C">
              <w:rPr>
                <w:rFonts w:ascii="Calibri" w:hAnsi="Calibri" w:cs="Calibri"/>
                <w:sz w:val="20"/>
                <w:szCs w:val="20"/>
              </w:rPr>
              <w:t xml:space="preserve"> that all nurses pursuing advanced education</w:t>
            </w:r>
            <w:r>
              <w:rPr>
                <w:rFonts w:ascii="Calibri" w:hAnsi="Calibri" w:cs="Calibri"/>
                <w:sz w:val="20"/>
                <w:szCs w:val="20"/>
              </w:rPr>
              <w:t xml:space="preserve"> </w:t>
            </w:r>
            <w:r w:rsidRPr="0083192C">
              <w:rPr>
                <w:rFonts w:ascii="Calibri" w:hAnsi="Calibri" w:cs="Calibri"/>
                <w:sz w:val="20"/>
                <w:szCs w:val="20"/>
              </w:rPr>
              <w:t>attain Level 2 sub-competencies</w:t>
            </w:r>
            <w:r>
              <w:rPr>
                <w:rFonts w:ascii="Calibri" w:hAnsi="Calibri" w:cs="Calibri"/>
                <w:sz w:val="20"/>
                <w:szCs w:val="20"/>
              </w:rPr>
              <w:t xml:space="preserve"> plus</w:t>
            </w:r>
            <w:r w:rsidRPr="0083192C">
              <w:rPr>
                <w:rFonts w:ascii="Calibri" w:hAnsi="Calibri" w:cs="Calibri"/>
                <w:sz w:val="20"/>
                <w:szCs w:val="20"/>
              </w:rPr>
              <w:t xml:space="preserve"> additional competencies </w:t>
            </w:r>
            <w:r>
              <w:rPr>
                <w:rFonts w:ascii="Calibri" w:hAnsi="Calibri" w:cs="Calibri"/>
                <w:sz w:val="20"/>
                <w:szCs w:val="20"/>
              </w:rPr>
              <w:t>needed</w:t>
            </w:r>
            <w:r w:rsidRPr="0083192C">
              <w:rPr>
                <w:rFonts w:ascii="Calibri" w:hAnsi="Calibri" w:cs="Calibri"/>
                <w:sz w:val="20"/>
                <w:szCs w:val="20"/>
              </w:rPr>
              <w:t xml:space="preserve"> for </w:t>
            </w:r>
            <w:r>
              <w:rPr>
                <w:rFonts w:ascii="Calibri" w:hAnsi="Calibri" w:cs="Calibri"/>
                <w:sz w:val="20"/>
                <w:szCs w:val="20"/>
              </w:rPr>
              <w:t>specific</w:t>
            </w:r>
            <w:r w:rsidRPr="0083192C">
              <w:rPr>
                <w:rFonts w:ascii="Calibri" w:hAnsi="Calibri" w:cs="Calibri"/>
                <w:sz w:val="20"/>
                <w:szCs w:val="20"/>
              </w:rPr>
              <w:t xml:space="preserve"> specialt</w:t>
            </w:r>
            <w:r>
              <w:rPr>
                <w:rFonts w:ascii="Calibri" w:hAnsi="Calibri" w:cs="Calibri"/>
                <w:sz w:val="20"/>
                <w:szCs w:val="20"/>
              </w:rPr>
              <w:t>ies</w:t>
            </w:r>
            <w:r w:rsidRPr="0083192C">
              <w:rPr>
                <w:rFonts w:ascii="Calibri" w:hAnsi="Calibri" w:cs="Calibri"/>
                <w:sz w:val="20"/>
                <w:szCs w:val="20"/>
              </w:rPr>
              <w:t xml:space="preserve"> or role</w:t>
            </w:r>
            <w:r>
              <w:rPr>
                <w:rFonts w:ascii="Calibri" w:hAnsi="Calibri" w:cs="Calibri"/>
                <w:sz w:val="20"/>
                <w:szCs w:val="20"/>
              </w:rPr>
              <w:t>s.</w:t>
            </w:r>
          </w:p>
        </w:tc>
        <w:tc>
          <w:tcPr>
            <w:tcW w:w="3277" w:type="dxa"/>
          </w:tcPr>
          <w:p w14:paraId="613464AA" w14:textId="77777777" w:rsidR="007C2647" w:rsidRDefault="007C2647" w:rsidP="007C2647">
            <w:pPr>
              <w:rPr>
                <w:b/>
                <w:bCs/>
                <w:sz w:val="20"/>
                <w:szCs w:val="20"/>
              </w:rPr>
            </w:pPr>
            <w:r w:rsidRPr="00383902">
              <w:rPr>
                <w:b/>
                <w:bCs/>
                <w:sz w:val="20"/>
                <w:szCs w:val="20"/>
              </w:rPr>
              <w:lastRenderedPageBreak/>
              <w:t xml:space="preserve">Statement </w:t>
            </w:r>
            <w:r>
              <w:rPr>
                <w:b/>
                <w:bCs/>
                <w:sz w:val="20"/>
                <w:szCs w:val="20"/>
              </w:rPr>
              <w:t>of Task, Box 1-2, FONR, pp. 24-25:</w:t>
            </w:r>
          </w:p>
          <w:p w14:paraId="321D2DCA" w14:textId="3206B35D" w:rsidR="007C2647" w:rsidRPr="00AA43A1" w:rsidRDefault="007C2647" w:rsidP="007C2647">
            <w:pPr>
              <w:rPr>
                <w:sz w:val="20"/>
                <w:szCs w:val="20"/>
              </w:rPr>
            </w:pPr>
            <w:r>
              <w:rPr>
                <w:sz w:val="20"/>
                <w:szCs w:val="20"/>
              </w:rPr>
              <w:lastRenderedPageBreak/>
              <w:t>“…training and competency development skills needed to prepare nurses, including advanced practice nurses, to work outside of acute care settings and to lead efforts to build a culture of health and health equity, and the extent to which curricula meets those needs…”</w:t>
            </w:r>
          </w:p>
        </w:tc>
        <w:tc>
          <w:tcPr>
            <w:tcW w:w="3414" w:type="dxa"/>
          </w:tcPr>
          <w:p w14:paraId="24726006" w14:textId="461BB5F3" w:rsidR="007C2647" w:rsidRDefault="007C2647" w:rsidP="007C2647">
            <w:pPr>
              <w:rPr>
                <w:rFonts w:cstheme="minorHAnsi"/>
                <w:color w:val="0D1941"/>
                <w:sz w:val="20"/>
                <w:szCs w:val="20"/>
              </w:rPr>
            </w:pPr>
            <w:r>
              <w:rPr>
                <w:b/>
                <w:bCs/>
              </w:rPr>
              <w:lastRenderedPageBreak/>
              <w:t>NA</w:t>
            </w:r>
          </w:p>
        </w:tc>
      </w:tr>
    </w:tbl>
    <w:p w14:paraId="3E94DC1F" w14:textId="58E56C6D" w:rsidR="005433FB" w:rsidRPr="005433FB" w:rsidRDefault="005433FB" w:rsidP="005433FB">
      <w:pPr>
        <w:rPr>
          <w:rFonts w:ascii="Calibri" w:eastAsia="Times New Roman" w:hAnsi="Calibri" w:cs="Calibri"/>
          <w:color w:val="000000"/>
          <w:sz w:val="24"/>
          <w:szCs w:val="24"/>
        </w:rPr>
      </w:pPr>
      <w:r w:rsidRPr="005433FB">
        <w:rPr>
          <w:b/>
          <w:bCs/>
          <w:sz w:val="24"/>
          <w:szCs w:val="24"/>
        </w:rPr>
        <w:br/>
        <w:t xml:space="preserve">Created by: </w:t>
      </w:r>
      <w:r w:rsidR="003866D0" w:rsidRPr="005433FB">
        <w:rPr>
          <w:sz w:val="24"/>
          <w:szCs w:val="24"/>
        </w:rPr>
        <w:t xml:space="preserve">Kathleen </w:t>
      </w:r>
      <w:proofErr w:type="spellStart"/>
      <w:r w:rsidR="003866D0" w:rsidRPr="005433FB">
        <w:rPr>
          <w:sz w:val="24"/>
          <w:szCs w:val="24"/>
        </w:rPr>
        <w:t>Sitzman</w:t>
      </w:r>
      <w:proofErr w:type="spellEnd"/>
      <w:r w:rsidRPr="005433FB">
        <w:rPr>
          <w:rFonts w:ascii="Calibri" w:eastAsia="Times New Roman" w:hAnsi="Calibri" w:cs="Calibri"/>
          <w:color w:val="000000"/>
          <w:sz w:val="24"/>
          <w:szCs w:val="24"/>
        </w:rPr>
        <w:t>, PhD, RN, CNE, ANEF, FAAN, Professor</w:t>
      </w:r>
      <w:r w:rsidRPr="005433FB">
        <w:rPr>
          <w:rFonts w:ascii="Calibri" w:eastAsia="Times New Roman" w:hAnsi="Calibri" w:cs="Calibri"/>
          <w:color w:val="000000"/>
          <w:sz w:val="24"/>
          <w:szCs w:val="24"/>
        </w:rPr>
        <w:t xml:space="preserve">, </w:t>
      </w:r>
      <w:r w:rsidRPr="005433FB">
        <w:rPr>
          <w:rFonts w:ascii="Calibri" w:eastAsia="Times New Roman" w:hAnsi="Calibri" w:cs="Calibri"/>
          <w:color w:val="000000"/>
          <w:sz w:val="24"/>
          <w:szCs w:val="24"/>
        </w:rPr>
        <w:t>Distinguished Watson Caring Science Schola</w:t>
      </w:r>
      <w:r w:rsidRPr="005433FB">
        <w:rPr>
          <w:rFonts w:ascii="Calibri" w:eastAsia="Times New Roman" w:hAnsi="Calibri" w:cs="Calibri"/>
          <w:color w:val="000000"/>
          <w:sz w:val="24"/>
          <w:szCs w:val="24"/>
        </w:rPr>
        <w:t xml:space="preserve">r, </w:t>
      </w:r>
      <w:r w:rsidRPr="005433FB">
        <w:rPr>
          <w:rFonts w:ascii="Calibri" w:eastAsia="Times New Roman" w:hAnsi="Calibri" w:cs="Calibri"/>
          <w:color w:val="000000"/>
          <w:sz w:val="24"/>
          <w:szCs w:val="24"/>
        </w:rPr>
        <w:t>Assistant Editor,</w:t>
      </w:r>
      <w:r w:rsidRPr="005433FB">
        <w:rPr>
          <w:rFonts w:ascii="Calibri" w:eastAsia="Times New Roman" w:hAnsi="Calibri" w:cs="Calibri"/>
          <w:color w:val="000000"/>
          <w:sz w:val="24"/>
          <w:szCs w:val="24"/>
        </w:rPr>
        <w:t xml:space="preserve"> </w:t>
      </w:r>
      <w:r w:rsidRPr="005433FB">
        <w:rPr>
          <w:rFonts w:ascii="Calibri" w:eastAsia="Times New Roman" w:hAnsi="Calibri" w:cs="Calibri"/>
          <w:color w:val="000000"/>
          <w:sz w:val="24"/>
          <w:szCs w:val="24"/>
        </w:rPr>
        <w:t>International Journal for Human Caring</w:t>
      </w:r>
      <w:r w:rsidRPr="005433FB">
        <w:rPr>
          <w:rFonts w:ascii="Calibri" w:eastAsia="Times New Roman" w:hAnsi="Calibri" w:cs="Calibri"/>
          <w:color w:val="000000"/>
          <w:sz w:val="24"/>
          <w:szCs w:val="24"/>
        </w:rPr>
        <w:t xml:space="preserve">, </w:t>
      </w:r>
      <w:r w:rsidRPr="005433FB">
        <w:rPr>
          <w:rFonts w:ascii="Calibri" w:eastAsia="Times New Roman" w:hAnsi="Calibri" w:cs="Calibri"/>
          <w:color w:val="000000"/>
          <w:sz w:val="24"/>
          <w:szCs w:val="24"/>
        </w:rPr>
        <w:t>East Carolina University</w:t>
      </w:r>
    </w:p>
    <w:p w14:paraId="6FCD5991" w14:textId="77777777" w:rsidR="005433FB" w:rsidRPr="005433FB" w:rsidRDefault="005433FB" w:rsidP="005433FB">
      <w:pPr>
        <w:spacing w:after="0" w:line="240" w:lineRule="auto"/>
        <w:rPr>
          <w:rFonts w:ascii="Calibri" w:eastAsia="Times New Roman" w:hAnsi="Calibri" w:cs="Calibri"/>
          <w:color w:val="000000"/>
        </w:rPr>
      </w:pPr>
      <w:r w:rsidRPr="005433FB">
        <w:rPr>
          <w:rFonts w:ascii="Calibri" w:eastAsia="Times New Roman" w:hAnsi="Calibri" w:cs="Calibri"/>
          <w:color w:val="000000"/>
        </w:rPr>
        <w:t> </w:t>
      </w:r>
    </w:p>
    <w:p w14:paraId="03211D8A" w14:textId="33F1F461" w:rsidR="003866D0" w:rsidRPr="003866D0" w:rsidRDefault="003866D0" w:rsidP="00180EEA">
      <w:pPr>
        <w:rPr>
          <w:b/>
          <w:bCs/>
          <w:sz w:val="24"/>
          <w:szCs w:val="24"/>
        </w:rPr>
      </w:pPr>
    </w:p>
    <w:sectPr w:rsidR="003866D0" w:rsidRPr="003866D0" w:rsidSect="00180EEA">
      <w:headerReference w:type="default" r:id="rId2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1EDDB" w14:textId="77777777" w:rsidR="00530E78" w:rsidRDefault="00530E78" w:rsidP="00A16FB1">
      <w:pPr>
        <w:spacing w:after="0" w:line="240" w:lineRule="auto"/>
      </w:pPr>
      <w:r>
        <w:separator/>
      </w:r>
    </w:p>
  </w:endnote>
  <w:endnote w:type="continuationSeparator" w:id="0">
    <w:p w14:paraId="6BAD3BEF" w14:textId="77777777" w:rsidR="00530E78" w:rsidRDefault="00530E78" w:rsidP="00A16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BoldItalic">
    <w:altName w:val="Times New Roman"/>
    <w:panose1 w:val="0000080000000009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BoldItalic">
    <w:altName w:val="Calibri"/>
    <w:panose1 w:val="020B0604020202020204"/>
    <w:charset w:val="00"/>
    <w:family w:val="auto"/>
    <w:notTrueType/>
    <w:pitch w:val="default"/>
    <w:sig w:usb0="00000003" w:usb1="00000000" w:usb2="00000000" w:usb3="00000000" w:csb0="00000001" w:csb1="00000000"/>
  </w:font>
  <w:font w:name="Calibri-Italic">
    <w:altName w:val="Calibri"/>
    <w:panose1 w:val="020B0604020202020204"/>
    <w:charset w:val="00"/>
    <w:family w:val="auto"/>
    <w:notTrueType/>
    <w:pitch w:val="default"/>
    <w:sig w:usb0="00000003" w:usb1="00000000" w:usb2="00000000" w:usb3="00000000" w:csb0="00000001" w:csb1="00000000"/>
  </w:font>
  <w:font w:name="Times-Roman">
    <w:altName w:val="Yu Gothic"/>
    <w:panose1 w:val="00000500000000020000"/>
    <w:charset w:val="80"/>
    <w:family w:val="auto"/>
    <w:notTrueType/>
    <w:pitch w:val="default"/>
    <w:sig w:usb0="00000003" w:usb1="08070000" w:usb2="00000010" w:usb3="00000000" w:csb0="00020001" w:csb1="00000000"/>
  </w:font>
  <w:font w:name="Calibri-Bold">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E7352" w14:textId="77777777" w:rsidR="00530E78" w:rsidRDefault="00530E78" w:rsidP="00A16FB1">
      <w:pPr>
        <w:spacing w:after="0" w:line="240" w:lineRule="auto"/>
      </w:pPr>
      <w:r>
        <w:separator/>
      </w:r>
    </w:p>
  </w:footnote>
  <w:footnote w:type="continuationSeparator" w:id="0">
    <w:p w14:paraId="5645FC7E" w14:textId="77777777" w:rsidR="00530E78" w:rsidRDefault="00530E78" w:rsidP="00A16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382066"/>
      <w:docPartObj>
        <w:docPartGallery w:val="Page Numbers (Top of Page)"/>
        <w:docPartUnique/>
      </w:docPartObj>
    </w:sdtPr>
    <w:sdtEndPr>
      <w:rPr>
        <w:noProof/>
      </w:rPr>
    </w:sdtEndPr>
    <w:sdtContent>
      <w:p w14:paraId="3893B4D4" w14:textId="5A522428" w:rsidR="003203DD" w:rsidRDefault="003203D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0F6B664" w14:textId="77777777" w:rsidR="003203DD" w:rsidRDefault="00320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D1A0F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1D39B0"/>
    <w:multiLevelType w:val="hybridMultilevel"/>
    <w:tmpl w:val="96D4B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8957F7"/>
    <w:multiLevelType w:val="hybridMultilevel"/>
    <w:tmpl w:val="AC2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C253D9"/>
    <w:multiLevelType w:val="hybridMultilevel"/>
    <w:tmpl w:val="040C8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446278"/>
    <w:multiLevelType w:val="hybridMultilevel"/>
    <w:tmpl w:val="DF52C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E10E11"/>
    <w:multiLevelType w:val="hybridMultilevel"/>
    <w:tmpl w:val="C5B8C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8FB3C35"/>
    <w:multiLevelType w:val="hybridMultilevel"/>
    <w:tmpl w:val="10F00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EEA"/>
    <w:rsid w:val="00025F23"/>
    <w:rsid w:val="00032BF0"/>
    <w:rsid w:val="00046C9B"/>
    <w:rsid w:val="00052407"/>
    <w:rsid w:val="00053776"/>
    <w:rsid w:val="00056F1A"/>
    <w:rsid w:val="00070F46"/>
    <w:rsid w:val="0008335E"/>
    <w:rsid w:val="0008788C"/>
    <w:rsid w:val="00090800"/>
    <w:rsid w:val="000B72A4"/>
    <w:rsid w:val="000D38B8"/>
    <w:rsid w:val="000D3AFC"/>
    <w:rsid w:val="000E50D2"/>
    <w:rsid w:val="000F2637"/>
    <w:rsid w:val="000F531F"/>
    <w:rsid w:val="001224FB"/>
    <w:rsid w:val="0012408D"/>
    <w:rsid w:val="00180EEA"/>
    <w:rsid w:val="00192B87"/>
    <w:rsid w:val="00195CE1"/>
    <w:rsid w:val="001D6BFA"/>
    <w:rsid w:val="002105D6"/>
    <w:rsid w:val="00230698"/>
    <w:rsid w:val="002355A0"/>
    <w:rsid w:val="00242044"/>
    <w:rsid w:val="00244DDF"/>
    <w:rsid w:val="00255ABD"/>
    <w:rsid w:val="00256175"/>
    <w:rsid w:val="002717C6"/>
    <w:rsid w:val="00281D2E"/>
    <w:rsid w:val="002A1BA7"/>
    <w:rsid w:val="002B2371"/>
    <w:rsid w:val="00301E41"/>
    <w:rsid w:val="00305A2E"/>
    <w:rsid w:val="003203DD"/>
    <w:rsid w:val="0032357B"/>
    <w:rsid w:val="00334979"/>
    <w:rsid w:val="00334E41"/>
    <w:rsid w:val="00351B99"/>
    <w:rsid w:val="003574FB"/>
    <w:rsid w:val="00382814"/>
    <w:rsid w:val="00383902"/>
    <w:rsid w:val="003866D0"/>
    <w:rsid w:val="00397744"/>
    <w:rsid w:val="003C127B"/>
    <w:rsid w:val="003C6047"/>
    <w:rsid w:val="003F5FEE"/>
    <w:rsid w:val="003F64B9"/>
    <w:rsid w:val="00420220"/>
    <w:rsid w:val="004976C9"/>
    <w:rsid w:val="004A2111"/>
    <w:rsid w:val="004C15C3"/>
    <w:rsid w:val="004C4D9B"/>
    <w:rsid w:val="004D444E"/>
    <w:rsid w:val="004E7D92"/>
    <w:rsid w:val="00530E78"/>
    <w:rsid w:val="005433FB"/>
    <w:rsid w:val="00553EA3"/>
    <w:rsid w:val="0056130A"/>
    <w:rsid w:val="005A555A"/>
    <w:rsid w:val="005B22CE"/>
    <w:rsid w:val="005C6A9A"/>
    <w:rsid w:val="005E38FC"/>
    <w:rsid w:val="00602B28"/>
    <w:rsid w:val="006103FD"/>
    <w:rsid w:val="00612E2D"/>
    <w:rsid w:val="006239BD"/>
    <w:rsid w:val="00637399"/>
    <w:rsid w:val="00647FE2"/>
    <w:rsid w:val="00666E81"/>
    <w:rsid w:val="00670604"/>
    <w:rsid w:val="006B578F"/>
    <w:rsid w:val="006E3226"/>
    <w:rsid w:val="006F1AEE"/>
    <w:rsid w:val="00703490"/>
    <w:rsid w:val="0070527D"/>
    <w:rsid w:val="0071560D"/>
    <w:rsid w:val="00741373"/>
    <w:rsid w:val="00750085"/>
    <w:rsid w:val="00757CE1"/>
    <w:rsid w:val="007B0862"/>
    <w:rsid w:val="007C2647"/>
    <w:rsid w:val="007E0ED0"/>
    <w:rsid w:val="007F4886"/>
    <w:rsid w:val="008044EB"/>
    <w:rsid w:val="00827D57"/>
    <w:rsid w:val="0083192C"/>
    <w:rsid w:val="00836703"/>
    <w:rsid w:val="00841614"/>
    <w:rsid w:val="00847677"/>
    <w:rsid w:val="00894B48"/>
    <w:rsid w:val="008A5CD5"/>
    <w:rsid w:val="008A7A76"/>
    <w:rsid w:val="008E2D0E"/>
    <w:rsid w:val="009106EB"/>
    <w:rsid w:val="00937E29"/>
    <w:rsid w:val="009408A1"/>
    <w:rsid w:val="00960E82"/>
    <w:rsid w:val="0098296C"/>
    <w:rsid w:val="00993871"/>
    <w:rsid w:val="009B07D1"/>
    <w:rsid w:val="009B3C63"/>
    <w:rsid w:val="009E1C08"/>
    <w:rsid w:val="009E59CF"/>
    <w:rsid w:val="00A07992"/>
    <w:rsid w:val="00A16FB1"/>
    <w:rsid w:val="00A4281D"/>
    <w:rsid w:val="00A500C9"/>
    <w:rsid w:val="00A578EF"/>
    <w:rsid w:val="00A94C45"/>
    <w:rsid w:val="00AA43A1"/>
    <w:rsid w:val="00AA719B"/>
    <w:rsid w:val="00B104C1"/>
    <w:rsid w:val="00B112A9"/>
    <w:rsid w:val="00B148A8"/>
    <w:rsid w:val="00B24746"/>
    <w:rsid w:val="00B66551"/>
    <w:rsid w:val="00BA7ABC"/>
    <w:rsid w:val="00BA7FC4"/>
    <w:rsid w:val="00BB5C08"/>
    <w:rsid w:val="00BC711C"/>
    <w:rsid w:val="00BD76C3"/>
    <w:rsid w:val="00BF750B"/>
    <w:rsid w:val="00C01104"/>
    <w:rsid w:val="00C06C20"/>
    <w:rsid w:val="00C21D89"/>
    <w:rsid w:val="00C21F6A"/>
    <w:rsid w:val="00C3554E"/>
    <w:rsid w:val="00C53FD7"/>
    <w:rsid w:val="00C727C3"/>
    <w:rsid w:val="00C81A35"/>
    <w:rsid w:val="00C943AB"/>
    <w:rsid w:val="00C96E96"/>
    <w:rsid w:val="00CA51C0"/>
    <w:rsid w:val="00CB13B3"/>
    <w:rsid w:val="00CD44E9"/>
    <w:rsid w:val="00CD5C74"/>
    <w:rsid w:val="00CF3768"/>
    <w:rsid w:val="00CF4F86"/>
    <w:rsid w:val="00D10906"/>
    <w:rsid w:val="00D12FAF"/>
    <w:rsid w:val="00D13391"/>
    <w:rsid w:val="00D164B4"/>
    <w:rsid w:val="00D63FE4"/>
    <w:rsid w:val="00D75802"/>
    <w:rsid w:val="00D80839"/>
    <w:rsid w:val="00DB5BAF"/>
    <w:rsid w:val="00DC0367"/>
    <w:rsid w:val="00DE22A1"/>
    <w:rsid w:val="00DE2517"/>
    <w:rsid w:val="00DF2E42"/>
    <w:rsid w:val="00E20FAA"/>
    <w:rsid w:val="00E27009"/>
    <w:rsid w:val="00E36B0F"/>
    <w:rsid w:val="00E84422"/>
    <w:rsid w:val="00E84B98"/>
    <w:rsid w:val="00E87C44"/>
    <w:rsid w:val="00E93F55"/>
    <w:rsid w:val="00EA194B"/>
    <w:rsid w:val="00EC5FCA"/>
    <w:rsid w:val="00ED05BC"/>
    <w:rsid w:val="00ED0986"/>
    <w:rsid w:val="00F1603F"/>
    <w:rsid w:val="00F35E2A"/>
    <w:rsid w:val="00F42CEA"/>
    <w:rsid w:val="00F74F2C"/>
    <w:rsid w:val="00F833F6"/>
    <w:rsid w:val="00F848F3"/>
    <w:rsid w:val="00F913A5"/>
    <w:rsid w:val="00FA1C98"/>
    <w:rsid w:val="00FC5DBC"/>
    <w:rsid w:val="00FC6B65"/>
    <w:rsid w:val="00FD2A59"/>
    <w:rsid w:val="00FD4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63FF2"/>
  <w15:chartTrackingRefBased/>
  <w15:docId w15:val="{31D17AEE-42FE-4BFD-AF6C-20D8290A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0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6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FB1"/>
  </w:style>
  <w:style w:type="paragraph" w:styleId="Footer">
    <w:name w:val="footer"/>
    <w:basedOn w:val="Normal"/>
    <w:link w:val="FooterChar"/>
    <w:uiPriority w:val="99"/>
    <w:unhideWhenUsed/>
    <w:rsid w:val="00A16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FB1"/>
  </w:style>
  <w:style w:type="paragraph" w:styleId="ListParagraph">
    <w:name w:val="List Paragraph"/>
    <w:basedOn w:val="Normal"/>
    <w:uiPriority w:val="34"/>
    <w:qFormat/>
    <w:rsid w:val="0083192C"/>
    <w:pPr>
      <w:ind w:left="720"/>
      <w:contextualSpacing/>
    </w:pPr>
  </w:style>
  <w:style w:type="paragraph" w:styleId="ListBullet">
    <w:name w:val="List Bullet"/>
    <w:basedOn w:val="Normal"/>
    <w:uiPriority w:val="99"/>
    <w:unhideWhenUsed/>
    <w:rsid w:val="00DC0367"/>
    <w:pPr>
      <w:numPr>
        <w:numId w:val="1"/>
      </w:numPr>
      <w:contextualSpacing/>
    </w:pPr>
  </w:style>
  <w:style w:type="character" w:styleId="Hyperlink">
    <w:name w:val="Hyperlink"/>
    <w:basedOn w:val="DefaultParagraphFont"/>
    <w:uiPriority w:val="99"/>
    <w:unhideWhenUsed/>
    <w:rsid w:val="0008788C"/>
    <w:rPr>
      <w:color w:val="0563C1" w:themeColor="hyperlink"/>
      <w:u w:val="single"/>
    </w:rPr>
  </w:style>
  <w:style w:type="character" w:styleId="UnresolvedMention">
    <w:name w:val="Unresolved Mention"/>
    <w:basedOn w:val="DefaultParagraphFont"/>
    <w:uiPriority w:val="99"/>
    <w:semiHidden/>
    <w:unhideWhenUsed/>
    <w:rsid w:val="0008788C"/>
    <w:rPr>
      <w:color w:val="605E5C"/>
      <w:shd w:val="clear" w:color="auto" w:fill="E1DFDD"/>
    </w:rPr>
  </w:style>
  <w:style w:type="character" w:styleId="Strong">
    <w:name w:val="Strong"/>
    <w:basedOn w:val="DefaultParagraphFont"/>
    <w:uiPriority w:val="22"/>
    <w:qFormat/>
    <w:rsid w:val="00B112A9"/>
    <w:rPr>
      <w:b/>
      <w:bCs/>
    </w:rPr>
  </w:style>
  <w:style w:type="paragraph" w:styleId="NormalWeb">
    <w:name w:val="Normal (Web)"/>
    <w:basedOn w:val="Normal"/>
    <w:uiPriority w:val="99"/>
    <w:semiHidden/>
    <w:unhideWhenUsed/>
    <w:rsid w:val="00EC5F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919134">
      <w:bodyDiv w:val="1"/>
      <w:marLeft w:val="0"/>
      <w:marRight w:val="0"/>
      <w:marTop w:val="0"/>
      <w:marBottom w:val="0"/>
      <w:divBdr>
        <w:top w:val="none" w:sz="0" w:space="0" w:color="auto"/>
        <w:left w:val="none" w:sz="0" w:space="0" w:color="auto"/>
        <w:bottom w:val="none" w:sz="0" w:space="0" w:color="auto"/>
        <w:right w:val="none" w:sz="0" w:space="0" w:color="auto"/>
      </w:divBdr>
      <w:divsChild>
        <w:div w:id="1406537880">
          <w:marLeft w:val="0"/>
          <w:marRight w:val="0"/>
          <w:marTop w:val="0"/>
          <w:marBottom w:val="0"/>
          <w:divBdr>
            <w:top w:val="none" w:sz="0" w:space="0" w:color="auto"/>
            <w:left w:val="none" w:sz="0" w:space="0" w:color="auto"/>
            <w:bottom w:val="none" w:sz="0" w:space="0" w:color="auto"/>
            <w:right w:val="none" w:sz="0" w:space="0" w:color="auto"/>
          </w:divBdr>
        </w:div>
      </w:divsChild>
    </w:div>
    <w:div w:id="10013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edu/publications/the-future-of-nursing-2020-2030/" TargetMode="External"/><Relationship Id="rId13" Type="http://schemas.openxmlformats.org/officeDocument/2006/relationships/hyperlink" Target="https://health.gov/healthypeople" TargetMode="External"/><Relationship Id="rId18" Type="http://schemas.openxmlformats.org/officeDocument/2006/relationships/hyperlink" Target="https://health.gov/healthypeople" TargetMode="External"/><Relationship Id="rId3" Type="http://schemas.openxmlformats.org/officeDocument/2006/relationships/settings" Target="settings.xml"/><Relationship Id="rId21" Type="http://schemas.openxmlformats.org/officeDocument/2006/relationships/hyperlink" Target="https://health.gov/healthypeople" TargetMode="External"/><Relationship Id="rId7" Type="http://schemas.openxmlformats.org/officeDocument/2006/relationships/hyperlink" Target="https://www.aacnnursing.org/AACN-Essentials" TargetMode="External"/><Relationship Id="rId12" Type="http://schemas.openxmlformats.org/officeDocument/2006/relationships/hyperlink" Target="https://health.gov/healthypeople" TargetMode="External"/><Relationship Id="rId17" Type="http://schemas.openxmlformats.org/officeDocument/2006/relationships/hyperlink" Target="https://health.gov/healthypeople/objectives-and-data/browse-objectives/health-communication/increase-health-literacy-population-hchit-r0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health.gov/healthypeople" TargetMode="External"/><Relationship Id="rId20" Type="http://schemas.openxmlformats.org/officeDocument/2006/relationships/hyperlink" Target="https://health.gov/healthypeopl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alth.gov/healthypeopl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health.gov/healthypeople" TargetMode="External"/><Relationship Id="rId23" Type="http://schemas.openxmlformats.org/officeDocument/2006/relationships/header" Target="header1.xml"/><Relationship Id="rId10" Type="http://schemas.openxmlformats.org/officeDocument/2006/relationships/hyperlink" Target="https://health.gov/healthypeople" TargetMode="External"/><Relationship Id="rId19" Type="http://schemas.openxmlformats.org/officeDocument/2006/relationships/hyperlink" Target="https://health.gov/healthypeople" TargetMode="External"/><Relationship Id="rId4" Type="http://schemas.openxmlformats.org/officeDocument/2006/relationships/webSettings" Target="webSettings.xml"/><Relationship Id="rId9" Type="http://schemas.openxmlformats.org/officeDocument/2006/relationships/hyperlink" Target="https://health.gov/healthypeople" TargetMode="External"/><Relationship Id="rId14" Type="http://schemas.openxmlformats.org/officeDocument/2006/relationships/hyperlink" Target="https://health.gov/healthypeople" TargetMode="External"/><Relationship Id="rId22" Type="http://schemas.openxmlformats.org/officeDocument/2006/relationships/hyperlink" Target="https://health.gov/healthy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4299</Words>
  <Characters>24505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Sitzman</dc:creator>
  <cp:keywords/>
  <dc:description/>
  <cp:lastModifiedBy>McElroy, Amy</cp:lastModifiedBy>
  <cp:revision>2</cp:revision>
  <cp:lastPrinted>2021-09-20T20:10:00Z</cp:lastPrinted>
  <dcterms:created xsi:type="dcterms:W3CDTF">2021-12-07T20:14:00Z</dcterms:created>
  <dcterms:modified xsi:type="dcterms:W3CDTF">2021-12-07T20:14:00Z</dcterms:modified>
</cp:coreProperties>
</file>