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6087" w14:textId="06EE4AEA" w:rsidR="00FE38DD" w:rsidRPr="006626E6" w:rsidRDefault="00FE38DD" w:rsidP="00A659E1">
      <w:pPr>
        <w:jc w:val="center"/>
        <w:rPr>
          <w:b/>
          <w:bCs/>
        </w:rPr>
      </w:pPr>
      <w:r w:rsidRPr="006626E6">
        <w:rPr>
          <w:b/>
          <w:bCs/>
        </w:rPr>
        <w:t>AACN Essentials Tool</w:t>
      </w:r>
      <w:r w:rsidR="00337990">
        <w:rPr>
          <w:b/>
          <w:bCs/>
        </w:rPr>
        <w:t xml:space="preserve"> K</w:t>
      </w:r>
      <w:r w:rsidRPr="006626E6">
        <w:rPr>
          <w:b/>
          <w:bCs/>
        </w:rPr>
        <w:t>it</w:t>
      </w:r>
    </w:p>
    <w:p w14:paraId="4CC5E91E" w14:textId="427BF8F5" w:rsidR="00FE38DD" w:rsidRPr="00CF3457" w:rsidRDefault="00FE38DD" w:rsidP="00A659E1">
      <w:pPr>
        <w:jc w:val="center"/>
      </w:pPr>
      <w:r w:rsidRPr="00CF3457">
        <w:rPr>
          <w:b/>
          <w:bCs/>
        </w:rPr>
        <w:t xml:space="preserve">Concept: </w:t>
      </w:r>
      <w:r w:rsidRPr="00CF3457">
        <w:t>Communication</w:t>
      </w:r>
    </w:p>
    <w:p w14:paraId="2D77B354" w14:textId="77777777" w:rsidR="00AE7D0C" w:rsidRDefault="00AE7D0C" w:rsidP="00AE7D0C">
      <w:pPr>
        <w:jc w:val="center"/>
        <w:rPr>
          <w:b/>
          <w:bCs/>
        </w:rPr>
      </w:pPr>
    </w:p>
    <w:p w14:paraId="2E5097E9" w14:textId="77777777" w:rsidR="00AE7D0C" w:rsidRPr="00CF3457" w:rsidRDefault="00AE7D0C" w:rsidP="00AE7D0C">
      <w:pPr>
        <w:rPr>
          <w:b/>
          <w:bCs/>
        </w:rPr>
      </w:pPr>
    </w:p>
    <w:p w14:paraId="407BBB7C" w14:textId="7EBCB671" w:rsidR="00FE38DD" w:rsidRPr="00CF3457" w:rsidRDefault="00FE38DD" w:rsidP="00A659E1">
      <w:pPr>
        <w:rPr>
          <w:b/>
          <w:bCs/>
        </w:rPr>
      </w:pPr>
      <w:r w:rsidRPr="00CF3457">
        <w:rPr>
          <w:b/>
          <w:bCs/>
        </w:rPr>
        <w:t>Requirements for Integration of the Concept</w:t>
      </w:r>
      <w:r w:rsidR="00337990">
        <w:rPr>
          <w:b/>
          <w:bCs/>
        </w:rPr>
        <w:br/>
      </w:r>
    </w:p>
    <w:p w14:paraId="3D5A99EC" w14:textId="0B7B1F55" w:rsidR="00FE38DD" w:rsidRPr="00A32CFC" w:rsidRDefault="00CF3457" w:rsidP="00CF3457">
      <w:pPr>
        <w:pStyle w:val="ListParagraph"/>
        <w:numPr>
          <w:ilvl w:val="0"/>
          <w:numId w:val="7"/>
        </w:numPr>
        <w:rPr>
          <w:rFonts w:ascii="Times New Roman" w:hAnsi="Times New Roman" w:cs="Times New Roman"/>
        </w:rPr>
      </w:pPr>
      <w:r w:rsidRPr="00CF3457">
        <w:rPr>
          <w:rFonts w:ascii="Times New Roman" w:hAnsi="Times New Roman" w:cs="Times New Roman"/>
          <w:color w:val="000000" w:themeColor="text1"/>
        </w:rPr>
        <w:t xml:space="preserve">Each nursing program </w:t>
      </w:r>
      <w:r w:rsidRPr="00A32CFC">
        <w:rPr>
          <w:rFonts w:ascii="Times New Roman" w:hAnsi="Times New Roman" w:cs="Times New Roman"/>
          <w:color w:val="000000" w:themeColor="text1"/>
        </w:rPr>
        <w:t xml:space="preserve">should adopt a definition of communication. </w:t>
      </w:r>
      <w:r w:rsidR="00FE38DD" w:rsidRPr="00A32CFC">
        <w:rPr>
          <w:rFonts w:ascii="Times New Roman" w:hAnsi="Times New Roman" w:cs="Times New Roman"/>
        </w:rPr>
        <w:t xml:space="preserve">Concepts and knowledge about communication should emphasize process, co-construction of meaning, as opposed to sender-based delivery and product alone </w:t>
      </w:r>
      <w:r w:rsidR="00FE38DD" w:rsidRPr="00A32CFC">
        <w:rPr>
          <w:rFonts w:ascii="Times New Roman" w:hAnsi="Times New Roman" w:cs="Times New Roman"/>
          <w:noProof/>
        </w:rPr>
        <w:t>(Carmack &amp; Harville, 2019; Wittenberg et al., 2020)</w:t>
      </w:r>
      <w:r w:rsidR="00FE38DD" w:rsidRPr="00A32CFC">
        <w:rPr>
          <w:rFonts w:ascii="Times New Roman" w:hAnsi="Times New Roman" w:cs="Times New Roman"/>
        </w:rPr>
        <w:t>. The definition of communication should be nurse-specific rather than physician-based.</w:t>
      </w:r>
    </w:p>
    <w:p w14:paraId="1F7A3354" w14:textId="1D80006F" w:rsidR="00CF3457" w:rsidRPr="0011027B" w:rsidRDefault="00A32CFC" w:rsidP="00A32CFC">
      <w:pPr>
        <w:pStyle w:val="ListParagraph"/>
        <w:numPr>
          <w:ilvl w:val="2"/>
          <w:numId w:val="7"/>
        </w:numPr>
        <w:rPr>
          <w:rFonts w:ascii="Times New Roman" w:hAnsi="Times New Roman" w:cs="Times New Roman"/>
        </w:rPr>
      </w:pPr>
      <w:r w:rsidRPr="00A32CFC">
        <w:rPr>
          <w:rFonts w:ascii="Times New Roman" w:hAnsi="Times New Roman" w:cs="Times New Roman"/>
        </w:rPr>
        <w:t>Recommended definition from t</w:t>
      </w:r>
      <w:r w:rsidR="00FE38DD" w:rsidRPr="00A32CFC">
        <w:rPr>
          <w:rFonts w:ascii="Times New Roman" w:hAnsi="Times New Roman" w:cs="Times New Roman"/>
        </w:rPr>
        <w:t xml:space="preserve">he COMFORT </w:t>
      </w:r>
      <w:r w:rsidRPr="00A32CFC">
        <w:rPr>
          <w:rFonts w:ascii="Times New Roman" w:hAnsi="Times New Roman" w:cs="Times New Roman"/>
        </w:rPr>
        <w:t xml:space="preserve">Communication </w:t>
      </w:r>
      <w:r w:rsidR="00FE38DD" w:rsidRPr="00A32CFC">
        <w:rPr>
          <w:rFonts w:ascii="Times New Roman" w:hAnsi="Times New Roman" w:cs="Times New Roman"/>
        </w:rPr>
        <w:t xml:space="preserve">Model </w:t>
      </w:r>
      <w:r w:rsidR="00FE38DD" w:rsidRPr="00A32CFC">
        <w:rPr>
          <w:rFonts w:ascii="Times New Roman" w:hAnsi="Times New Roman" w:cs="Times New Roman"/>
          <w:noProof/>
        </w:rPr>
        <w:t>(Wittenberg et al., 2020)</w:t>
      </w:r>
      <w:r w:rsidR="00FE38DD" w:rsidRPr="00A32CFC">
        <w:rPr>
          <w:rFonts w:ascii="Times New Roman" w:hAnsi="Times New Roman" w:cs="Times New Roman"/>
        </w:rPr>
        <w:t>:</w:t>
      </w:r>
      <w:r w:rsidRPr="00A32CFC">
        <w:rPr>
          <w:rFonts w:ascii="Times New Roman" w:hAnsi="Times New Roman" w:cs="Times New Roman"/>
        </w:rPr>
        <w:t xml:space="preserve"> </w:t>
      </w:r>
      <w:r w:rsidR="00FE38DD" w:rsidRPr="00A32CFC">
        <w:rPr>
          <w:rFonts w:ascii="Times New Roman" w:hAnsi="Times New Roman" w:cs="Times New Roman"/>
          <w:color w:val="000000"/>
        </w:rPr>
        <w:t xml:space="preserve">(In the transactional model) both the nurse and the patient/family contribute to and </w:t>
      </w:r>
      <w:r w:rsidR="00FE38DD" w:rsidRPr="0011027B">
        <w:rPr>
          <w:rFonts w:ascii="Times New Roman" w:hAnsi="Times New Roman" w:cs="Times New Roman"/>
          <w:color w:val="000000"/>
        </w:rPr>
        <w:t>negotiate the meaning of verbal and nonverbal messages simultaneously.</w:t>
      </w:r>
    </w:p>
    <w:p w14:paraId="5C9ADBCF" w14:textId="7EA1663C" w:rsidR="001C4AA7" w:rsidRPr="00A32CFC" w:rsidRDefault="00FE38DD" w:rsidP="0011027B">
      <w:pPr>
        <w:pStyle w:val="ListParagraph"/>
        <w:numPr>
          <w:ilvl w:val="0"/>
          <w:numId w:val="7"/>
        </w:numPr>
        <w:rPr>
          <w:rFonts w:ascii="Times New Roman" w:hAnsi="Times New Roman" w:cs="Times New Roman"/>
          <w:b/>
          <w:bCs/>
        </w:rPr>
      </w:pPr>
      <w:r w:rsidRPr="0011027B">
        <w:rPr>
          <w:rFonts w:ascii="Times New Roman" w:hAnsi="Times New Roman" w:cs="Times New Roman"/>
        </w:rPr>
        <w:t>Planned assessment should occur on three levels and should be identified for each year across the degree plan:</w:t>
      </w:r>
      <w:r w:rsidRPr="00A32CFC">
        <w:rPr>
          <w:rFonts w:ascii="Times New Roman" w:hAnsi="Times New Roman" w:cs="Times New Roman"/>
        </w:rPr>
        <w:t xml:space="preserve"> Communication Attitudes, Communication Knowledge, Communication Skills </w:t>
      </w:r>
      <w:r w:rsidRPr="00A32CFC">
        <w:rPr>
          <w:rFonts w:ascii="Times New Roman" w:hAnsi="Times New Roman" w:cs="Times New Roman"/>
          <w:noProof/>
        </w:rPr>
        <w:t>(Wittenberg et al., 2021)</w:t>
      </w:r>
      <w:r w:rsidRPr="00A32CFC">
        <w:rPr>
          <w:rFonts w:ascii="Times New Roman" w:hAnsi="Times New Roman" w:cs="Times New Roman"/>
        </w:rPr>
        <w:t xml:space="preserve"> see also </w:t>
      </w:r>
      <w:r w:rsidRPr="00A32CFC">
        <w:rPr>
          <w:rFonts w:ascii="Times New Roman" w:hAnsi="Times New Roman" w:cs="Times New Roman"/>
          <w:noProof/>
        </w:rPr>
        <w:t>(Young et al., 2021)</w:t>
      </w:r>
      <w:r w:rsidR="00A569F7">
        <w:rPr>
          <w:rFonts w:ascii="Times New Roman" w:hAnsi="Times New Roman" w:cs="Times New Roman"/>
          <w:noProof/>
        </w:rPr>
        <w:t>:</w:t>
      </w:r>
    </w:p>
    <w:p w14:paraId="10F3B175" w14:textId="1E9F3401" w:rsidR="001C4AA7" w:rsidRPr="00CF3457" w:rsidRDefault="00FE38DD" w:rsidP="001C4AA7">
      <w:pPr>
        <w:pStyle w:val="ListParagraph"/>
        <w:numPr>
          <w:ilvl w:val="2"/>
          <w:numId w:val="7"/>
        </w:numPr>
        <w:rPr>
          <w:rFonts w:ascii="Times New Roman" w:hAnsi="Times New Roman" w:cs="Times New Roman"/>
        </w:rPr>
      </w:pPr>
      <w:r w:rsidRPr="00A32CFC">
        <w:rPr>
          <w:rFonts w:ascii="Times New Roman" w:hAnsi="Times New Roman" w:cs="Times New Roman"/>
          <w:b/>
          <w:bCs/>
          <w:color w:val="000000" w:themeColor="text1"/>
        </w:rPr>
        <w:t>Communication attitude</w:t>
      </w:r>
      <w:r w:rsidRPr="00A32CFC">
        <w:rPr>
          <w:rFonts w:ascii="Times New Roman" w:hAnsi="Times New Roman" w:cs="Times New Roman"/>
          <w:color w:val="000000" w:themeColor="text1"/>
        </w:rPr>
        <w:t xml:space="preserve"> is defined</w:t>
      </w:r>
      <w:r w:rsidRPr="00CF3457">
        <w:rPr>
          <w:rFonts w:ascii="Times New Roman" w:hAnsi="Times New Roman" w:cs="Times New Roman"/>
          <w:color w:val="000000" w:themeColor="text1"/>
        </w:rPr>
        <w:t xml:space="preserve"> as positive approaches to interpersonal interactions.</w:t>
      </w:r>
      <w:r w:rsidR="001C4AA7" w:rsidRPr="00CF3457">
        <w:rPr>
          <w:rFonts w:ascii="Times New Roman" w:hAnsi="Times New Roman" w:cs="Times New Roman"/>
        </w:rPr>
        <w:t xml:space="preserve"> In the first year of study, student buy-in must include the need to understand and value the importance of communication training and education beyond public speaking </w:t>
      </w:r>
      <w:r w:rsidR="001C4AA7" w:rsidRPr="00CF3457">
        <w:rPr>
          <w:rFonts w:ascii="Times New Roman" w:hAnsi="Times New Roman" w:cs="Times New Roman"/>
          <w:noProof/>
        </w:rPr>
        <w:t>(Carmack &amp; Harville, 2019)</w:t>
      </w:r>
      <w:r w:rsidR="001C4AA7" w:rsidRPr="00CF3457">
        <w:rPr>
          <w:rFonts w:ascii="Times New Roman" w:hAnsi="Times New Roman" w:cs="Times New Roman"/>
        </w:rPr>
        <w:t>. Communication attitude should be taught and assessed in the first year of study.</w:t>
      </w:r>
    </w:p>
    <w:p w14:paraId="2AF9AB92" w14:textId="4D9A8536" w:rsidR="00FE38DD" w:rsidRPr="00CF3457" w:rsidRDefault="00FE38DD" w:rsidP="00345A50">
      <w:pPr>
        <w:pStyle w:val="ListParagraph"/>
        <w:numPr>
          <w:ilvl w:val="2"/>
          <w:numId w:val="7"/>
        </w:numPr>
        <w:rPr>
          <w:rFonts w:ascii="Times New Roman" w:hAnsi="Times New Roman" w:cs="Times New Roman"/>
        </w:rPr>
      </w:pPr>
      <w:r w:rsidRPr="00CF3457">
        <w:rPr>
          <w:rFonts w:ascii="Times New Roman" w:hAnsi="Times New Roman" w:cs="Times New Roman"/>
          <w:b/>
          <w:bCs/>
          <w:color w:val="000000" w:themeColor="text1"/>
        </w:rPr>
        <w:t>Communication knowledge</w:t>
      </w:r>
      <w:r w:rsidRPr="00CF3457">
        <w:rPr>
          <w:rFonts w:ascii="Times New Roman" w:hAnsi="Times New Roman" w:cs="Times New Roman"/>
          <w:color w:val="000000" w:themeColor="text1"/>
        </w:rPr>
        <w:t xml:space="preserve"> is defined as the communication role and responsibilities of being a nurse. </w:t>
      </w:r>
      <w:r w:rsidR="001C4AA7" w:rsidRPr="00CF3457">
        <w:rPr>
          <w:rFonts w:ascii="Times New Roman" w:hAnsi="Times New Roman" w:cs="Times New Roman"/>
        </w:rPr>
        <w:t xml:space="preserve">Communication knowledge should be taught alongside communication skill. Content should be grounded in theoretical principles and scientific evidence in curriculum development and match assessment strategies to increasing level of competence (e.g., </w:t>
      </w:r>
      <w:r w:rsidR="001C4AA7" w:rsidRPr="00CF3457">
        <w:rPr>
          <w:rFonts w:ascii="Times New Roman" w:hAnsi="Times New Roman" w:cs="Times New Roman"/>
          <w:noProof/>
        </w:rPr>
        <w:t>(Kiessling et al., 2017)</w:t>
      </w:r>
      <w:r w:rsidR="001C4AA7" w:rsidRPr="00CF3457">
        <w:rPr>
          <w:rFonts w:ascii="Times New Roman" w:hAnsi="Times New Roman" w:cs="Times New Roman"/>
        </w:rPr>
        <w:t>.</w:t>
      </w:r>
      <w:r w:rsidR="00554A4C">
        <w:rPr>
          <w:rFonts w:ascii="Times New Roman" w:hAnsi="Times New Roman" w:cs="Times New Roman"/>
        </w:rPr>
        <w:t xml:space="preserve"> Communication knowledge should be taught and assessed in the second and third year of study.</w:t>
      </w:r>
    </w:p>
    <w:p w14:paraId="0575033E" w14:textId="1E086572" w:rsidR="00FE38DD" w:rsidRPr="00CF3457" w:rsidRDefault="00FE38DD" w:rsidP="00345A50">
      <w:pPr>
        <w:pStyle w:val="ListParagraph"/>
        <w:numPr>
          <w:ilvl w:val="2"/>
          <w:numId w:val="7"/>
        </w:numPr>
        <w:rPr>
          <w:rFonts w:ascii="Times New Roman" w:hAnsi="Times New Roman" w:cs="Times New Roman"/>
        </w:rPr>
      </w:pPr>
      <w:r w:rsidRPr="00CF3457">
        <w:rPr>
          <w:rFonts w:ascii="Times New Roman" w:hAnsi="Times New Roman" w:cs="Times New Roman"/>
          <w:b/>
          <w:bCs/>
          <w:color w:val="000000" w:themeColor="text1"/>
        </w:rPr>
        <w:t>Communication skill</w:t>
      </w:r>
      <w:r w:rsidRPr="00CF3457">
        <w:rPr>
          <w:rFonts w:ascii="Times New Roman" w:hAnsi="Times New Roman" w:cs="Times New Roman"/>
          <w:color w:val="000000" w:themeColor="text1"/>
        </w:rPr>
        <w:t xml:space="preserve"> is defined as behaviors and practices for communicating with patient, family, and other healthcare providers.</w:t>
      </w:r>
      <w:r w:rsidR="00345A50" w:rsidRPr="00CF3457">
        <w:rPr>
          <w:rFonts w:ascii="Times New Roman" w:hAnsi="Times New Roman" w:cs="Times New Roman"/>
          <w:color w:val="000000" w:themeColor="text1"/>
        </w:rPr>
        <w:t xml:space="preserve"> </w:t>
      </w:r>
      <w:r w:rsidR="00E030C8" w:rsidRPr="00CF3457">
        <w:rPr>
          <w:rFonts w:ascii="Times New Roman" w:hAnsi="Times New Roman" w:cs="Times New Roman"/>
        </w:rPr>
        <w:t>Communication skill should be developed and assessed in years three and four, after communication attitude and knowledge are developed.</w:t>
      </w:r>
    </w:p>
    <w:p w14:paraId="750A12E6" w14:textId="77777777" w:rsidR="00FE38DD" w:rsidRPr="006626E6" w:rsidRDefault="00FE38DD" w:rsidP="00A659E1">
      <w:pPr>
        <w:rPr>
          <w:b/>
          <w:bCs/>
        </w:rPr>
      </w:pPr>
    </w:p>
    <w:p w14:paraId="1E83F64C" w14:textId="28AFF92D" w:rsidR="00FE38DD" w:rsidRPr="006626E6" w:rsidRDefault="00FE38DD" w:rsidP="00A659E1">
      <w:pPr>
        <w:rPr>
          <w:b/>
          <w:bCs/>
        </w:rPr>
      </w:pPr>
      <w:r w:rsidRPr="006626E6">
        <w:rPr>
          <w:b/>
          <w:bCs/>
        </w:rPr>
        <w:t>Recommended Assessment Strategies</w:t>
      </w:r>
      <w:r w:rsidR="00337990">
        <w:rPr>
          <w:b/>
          <w:bCs/>
        </w:rPr>
        <w:br/>
      </w:r>
    </w:p>
    <w:p w14:paraId="4ADE9F9B" w14:textId="1B830A07" w:rsidR="00FE38DD" w:rsidRPr="00EC6CC1" w:rsidRDefault="00FE38DD" w:rsidP="00EC6CC1">
      <w:r w:rsidRPr="006626E6">
        <w:t>Communication training for nursing that are inclusive of knowledge, attitude, and skill is advocated as a gold-standard approach by instructional communication researchers and communication scientists (Wittenberg et al., 2021).</w:t>
      </w:r>
      <w:r w:rsidR="00EC6CC1">
        <w:t xml:space="preserve"> </w:t>
      </w:r>
      <w:r w:rsidRPr="00EC6CC1">
        <w:t>Assessment should feature specific and explicit performance expectations that emerge from communication attitude, illustrate acquisition of communication knowledge, and produce observational communication skills/behaviors.</w:t>
      </w:r>
      <w:r w:rsidR="00EC6CC1">
        <w:t xml:space="preserve"> </w:t>
      </w:r>
      <w:r w:rsidRPr="00EC6CC1">
        <w:t>Assessment strategies</w:t>
      </w:r>
      <w:r w:rsidRPr="00EC6CC1">
        <w:rPr>
          <w:b/>
          <w:bCs/>
        </w:rPr>
        <w:t xml:space="preserve"> </w:t>
      </w:r>
      <w:r w:rsidRPr="00EC6CC1">
        <w:t>must accompany resources and content</w:t>
      </w:r>
      <w:r w:rsidRPr="00EC6CC1">
        <w:rPr>
          <w:b/>
          <w:bCs/>
        </w:rPr>
        <w:t xml:space="preserve"> </w:t>
      </w:r>
      <w:r w:rsidRPr="00EC6CC1">
        <w:t>so students can consistently assess their own performance and progress.</w:t>
      </w:r>
      <w:r w:rsidR="00EC6CC1">
        <w:t xml:space="preserve"> </w:t>
      </w:r>
      <w:r w:rsidRPr="00EC6CC1">
        <w:t xml:space="preserve">Assessment of communication skill includes a level of subjectivity on behalf of the evaluator and thus competency assessment tools and evaluator training should be standardized </w:t>
      </w:r>
      <w:r w:rsidRPr="00EC6CC1">
        <w:rPr>
          <w:noProof/>
        </w:rPr>
        <w:t>(Duffy, 2019)</w:t>
      </w:r>
      <w:r w:rsidR="00F70667" w:rsidRPr="00EC6CC1">
        <w:rPr>
          <w:noProof/>
        </w:rPr>
        <w:t>.</w:t>
      </w:r>
    </w:p>
    <w:p w14:paraId="03B85766" w14:textId="77777777" w:rsidR="00FE38DD" w:rsidRPr="00ED6F42" w:rsidRDefault="00FE38DD" w:rsidP="00A659E1"/>
    <w:p w14:paraId="51FD90F0" w14:textId="0BAC398B" w:rsidR="00FE38DD" w:rsidRPr="00130D7B" w:rsidRDefault="00FE38DD" w:rsidP="00A659E1">
      <w:pPr>
        <w:rPr>
          <w:b/>
          <w:bCs/>
        </w:rPr>
      </w:pPr>
      <w:r w:rsidRPr="00130D7B">
        <w:rPr>
          <w:b/>
          <w:bCs/>
        </w:rPr>
        <w:t xml:space="preserve">While communication is a concept across all domains, competencies, and sub-competencies, </w:t>
      </w:r>
      <w:r w:rsidR="00130D7B" w:rsidRPr="00130D7B">
        <w:rPr>
          <w:b/>
          <w:bCs/>
        </w:rPr>
        <w:t xml:space="preserve">the table below identifies </w:t>
      </w:r>
      <w:r w:rsidRPr="00130D7B">
        <w:rPr>
          <w:b/>
          <w:bCs/>
        </w:rPr>
        <w:t xml:space="preserve">teachable </w:t>
      </w:r>
      <w:r w:rsidR="00130D7B" w:rsidRPr="00130D7B">
        <w:rPr>
          <w:b/>
          <w:bCs/>
        </w:rPr>
        <w:t>content</w:t>
      </w:r>
      <w:r w:rsidRPr="00130D7B">
        <w:rPr>
          <w:b/>
          <w:bCs/>
        </w:rPr>
        <w:t xml:space="preserve"> for points of teaching integration.</w:t>
      </w:r>
      <w:r w:rsidR="00337990">
        <w:rPr>
          <w:b/>
          <w:bCs/>
        </w:rPr>
        <w:br/>
      </w:r>
      <w:r w:rsidR="00337990">
        <w:rPr>
          <w:b/>
          <w:bCs/>
        </w:rPr>
        <w:br/>
      </w:r>
      <w:r w:rsidR="00337990">
        <w:rPr>
          <w:b/>
          <w:bCs/>
        </w:rPr>
        <w:br/>
      </w:r>
      <w:r w:rsidR="00337990">
        <w:rPr>
          <w:b/>
          <w:bCs/>
        </w:rPr>
        <w:br/>
      </w:r>
      <w:r w:rsidR="00337990">
        <w:rPr>
          <w:b/>
          <w:bCs/>
        </w:rPr>
        <w:br/>
      </w:r>
      <w:r w:rsidR="00337990">
        <w:rPr>
          <w:b/>
          <w:bCs/>
        </w:rPr>
        <w:br/>
      </w:r>
    </w:p>
    <w:p w14:paraId="3BFC023D" w14:textId="77777777" w:rsidR="00FE38DD" w:rsidRDefault="00FE38DD">
      <w:pPr>
        <w:rPr>
          <w:sz w:val="22"/>
          <w:szCs w:val="22"/>
        </w:rPr>
      </w:pPr>
    </w:p>
    <w:p w14:paraId="01551355" w14:textId="24AC59D7" w:rsidR="00617F9B" w:rsidRPr="00337990" w:rsidRDefault="00252C9C" w:rsidP="00DE49FA">
      <w:pPr>
        <w:rPr>
          <w:b/>
          <w:bCs/>
          <w:sz w:val="22"/>
          <w:szCs w:val="22"/>
        </w:rPr>
      </w:pPr>
      <w:r w:rsidRPr="00337990">
        <w:rPr>
          <w:b/>
          <w:bCs/>
          <w:sz w:val="22"/>
          <w:szCs w:val="22"/>
        </w:rPr>
        <w:lastRenderedPageBreak/>
        <w:t>References</w:t>
      </w:r>
    </w:p>
    <w:p w14:paraId="02FF5A5C" w14:textId="77777777" w:rsidR="00DE49FA" w:rsidRPr="00DE49FA" w:rsidRDefault="00DE49FA" w:rsidP="00DE49FA">
      <w:pPr>
        <w:rPr>
          <w:sz w:val="22"/>
          <w:szCs w:val="22"/>
        </w:rPr>
      </w:pPr>
    </w:p>
    <w:p w14:paraId="28B8A99E" w14:textId="3F502981" w:rsidR="00FE38DD" w:rsidRPr="005833C9" w:rsidRDefault="00FE38DD" w:rsidP="00FE38DD">
      <w:pPr>
        <w:pStyle w:val="EndNoteBibliography"/>
        <w:ind w:left="720" w:hanging="720"/>
        <w:rPr>
          <w:noProof/>
        </w:rPr>
      </w:pPr>
      <w:r w:rsidRPr="005833C9">
        <w:rPr>
          <w:noProof/>
        </w:rPr>
        <w:t xml:space="preserve">Carmack, H. J., &amp; Harville, K. L. (2019, Aug 18). Including Communication in the Nursing Classroom: A Content Analysis of Communication Competence and Interprofessional Communication in Nursing Fundamentals Textbooks. </w:t>
      </w:r>
      <w:r w:rsidRPr="005833C9">
        <w:rPr>
          <w:i/>
          <w:noProof/>
        </w:rPr>
        <w:t>Health Commun</w:t>
      </w:r>
      <w:r w:rsidRPr="005833C9">
        <w:rPr>
          <w:noProof/>
        </w:rPr>
        <w:t xml:space="preserve">, 1-10. </w:t>
      </w:r>
      <w:r w:rsidRPr="00FE38DD">
        <w:rPr>
          <w:noProof/>
        </w:rPr>
        <w:t>https://doi.org/10.1080/10410236.2019.1654179</w:t>
      </w:r>
      <w:r w:rsidRPr="005833C9">
        <w:rPr>
          <w:noProof/>
        </w:rPr>
        <w:t xml:space="preserve"> </w:t>
      </w:r>
    </w:p>
    <w:p w14:paraId="744F3C9E" w14:textId="77777777" w:rsidR="00FE38DD" w:rsidRPr="005833C9" w:rsidRDefault="00FE38DD" w:rsidP="00FE38DD">
      <w:pPr>
        <w:pStyle w:val="EndNoteBibliography"/>
        <w:rPr>
          <w:noProof/>
        </w:rPr>
      </w:pPr>
    </w:p>
    <w:p w14:paraId="18B870C6" w14:textId="77777777" w:rsidR="001704CC" w:rsidRPr="005833C9" w:rsidRDefault="001704CC" w:rsidP="001704CC">
      <w:pPr>
        <w:pStyle w:val="EndNoteBibliography"/>
        <w:ind w:left="720" w:hanging="720"/>
        <w:rPr>
          <w:noProof/>
        </w:rPr>
      </w:pPr>
      <w:r w:rsidRPr="005833C9">
        <w:rPr>
          <w:noProof/>
        </w:rPr>
        <w:t xml:space="preserve">Duffy, L. (2019). Using competency assessment tools to enhance student learning. </w:t>
      </w:r>
      <w:r w:rsidRPr="005833C9">
        <w:rPr>
          <w:i/>
          <w:noProof/>
        </w:rPr>
        <w:t>Nursing Times [online],, 115</w:t>
      </w:r>
      <w:r w:rsidRPr="005833C9">
        <w:rPr>
          <w:noProof/>
        </w:rPr>
        <w:t xml:space="preserve">, 50-53. </w:t>
      </w:r>
    </w:p>
    <w:p w14:paraId="68AA687A" w14:textId="77777777" w:rsidR="001704CC" w:rsidRDefault="001704CC" w:rsidP="00FE38DD">
      <w:pPr>
        <w:pStyle w:val="EndNoteBibliography"/>
        <w:ind w:left="720" w:hanging="720"/>
        <w:rPr>
          <w:noProof/>
        </w:rPr>
      </w:pPr>
    </w:p>
    <w:p w14:paraId="1ED561C7" w14:textId="76CB19D1" w:rsidR="00FE38DD" w:rsidRPr="005833C9" w:rsidRDefault="00FE38DD" w:rsidP="00FE38DD">
      <w:pPr>
        <w:pStyle w:val="EndNoteBibliography"/>
        <w:ind w:left="720" w:hanging="720"/>
        <w:rPr>
          <w:noProof/>
        </w:rPr>
      </w:pPr>
      <w:r w:rsidRPr="005833C9">
        <w:rPr>
          <w:noProof/>
        </w:rPr>
        <w:t xml:space="preserve">Kiessling, C., Tsimtsiou, Z., Essers, G., van Nuland, M., Anvik, T., Bujnowska-Fedak, M. M., Hovey, R., Joakimsen, R., Perron, N. J., Rosenbaum, M., &amp; Silverman, J. (2017, Sep). General principles to consider when designing a clinical communication assessment program. </w:t>
      </w:r>
      <w:r w:rsidRPr="005833C9">
        <w:rPr>
          <w:i/>
          <w:noProof/>
        </w:rPr>
        <w:t>Patient Educ Couns, 100</w:t>
      </w:r>
      <w:r w:rsidRPr="005833C9">
        <w:rPr>
          <w:noProof/>
        </w:rPr>
        <w:t xml:space="preserve">(9), 1762-1768. </w:t>
      </w:r>
      <w:r w:rsidRPr="00FE38DD">
        <w:rPr>
          <w:noProof/>
        </w:rPr>
        <w:t>https://doi.org/10.1016/j.pec.2017.03.027</w:t>
      </w:r>
      <w:r w:rsidRPr="005833C9">
        <w:rPr>
          <w:noProof/>
        </w:rPr>
        <w:t xml:space="preserve"> </w:t>
      </w:r>
    </w:p>
    <w:p w14:paraId="5322736D" w14:textId="77777777" w:rsidR="00FE38DD" w:rsidRPr="005833C9" w:rsidRDefault="00FE38DD" w:rsidP="00FE38DD">
      <w:pPr>
        <w:pStyle w:val="EndNoteBibliography"/>
        <w:rPr>
          <w:noProof/>
        </w:rPr>
      </w:pPr>
    </w:p>
    <w:p w14:paraId="6BB307F8" w14:textId="77777777" w:rsidR="00FE38DD" w:rsidRPr="005833C9" w:rsidRDefault="00FE38DD" w:rsidP="00FE38DD">
      <w:pPr>
        <w:pStyle w:val="EndNoteBibliography"/>
        <w:ind w:left="720" w:hanging="720"/>
        <w:rPr>
          <w:noProof/>
        </w:rPr>
      </w:pPr>
      <w:r w:rsidRPr="005833C9">
        <w:rPr>
          <w:noProof/>
        </w:rPr>
        <w:t xml:space="preserve">Wittenberg, E., Goldsmith, J., Ragan, S., &amp; Parnell, T. A. (2020). </w:t>
      </w:r>
      <w:r w:rsidRPr="005833C9">
        <w:rPr>
          <w:i/>
          <w:noProof/>
        </w:rPr>
        <w:t>Communication in Palliative Nursing: The COMFORT Model</w:t>
      </w:r>
      <w:r w:rsidRPr="005833C9">
        <w:rPr>
          <w:noProof/>
        </w:rPr>
        <w:t xml:space="preserve">. Oxford University Press. </w:t>
      </w:r>
    </w:p>
    <w:p w14:paraId="4E459A19" w14:textId="77777777" w:rsidR="00FE38DD" w:rsidRPr="005833C9" w:rsidRDefault="00FE38DD" w:rsidP="00FE38DD">
      <w:pPr>
        <w:pStyle w:val="EndNoteBibliography"/>
        <w:rPr>
          <w:noProof/>
        </w:rPr>
      </w:pPr>
    </w:p>
    <w:p w14:paraId="5F35853A" w14:textId="77777777" w:rsidR="00FE38DD" w:rsidRPr="005833C9" w:rsidRDefault="00FE38DD" w:rsidP="00FE38DD">
      <w:pPr>
        <w:pStyle w:val="EndNoteBibliography"/>
        <w:ind w:left="720" w:hanging="720"/>
        <w:rPr>
          <w:noProof/>
        </w:rPr>
      </w:pPr>
      <w:r w:rsidRPr="005833C9">
        <w:rPr>
          <w:noProof/>
        </w:rPr>
        <w:t xml:space="preserve">Wittenberg, E., Goldsmith, J. V., Chen, C., Prince-Paul, M., &amp; Capper, B. (2021, Aug 19). COVID 19-transformed nursing education and communication competency: Testing COMFORT educational resources. </w:t>
      </w:r>
      <w:r w:rsidRPr="005833C9">
        <w:rPr>
          <w:i/>
          <w:noProof/>
        </w:rPr>
        <w:t>Nurse Educ Today, 107</w:t>
      </w:r>
      <w:r w:rsidRPr="005833C9">
        <w:rPr>
          <w:noProof/>
        </w:rPr>
        <w:t xml:space="preserve">, 105105. </w:t>
      </w:r>
      <w:r w:rsidRPr="00FE38DD">
        <w:rPr>
          <w:noProof/>
        </w:rPr>
        <w:t>https://doi.org/10.1016/j.nedt.2021.105105</w:t>
      </w:r>
      <w:r w:rsidRPr="005833C9">
        <w:rPr>
          <w:noProof/>
        </w:rPr>
        <w:t xml:space="preserve"> </w:t>
      </w:r>
    </w:p>
    <w:p w14:paraId="2344DB3D" w14:textId="77777777" w:rsidR="00FE38DD" w:rsidRPr="005833C9" w:rsidRDefault="00FE38DD" w:rsidP="00FE38DD">
      <w:pPr>
        <w:pStyle w:val="EndNoteBibliography"/>
        <w:rPr>
          <w:noProof/>
        </w:rPr>
      </w:pPr>
    </w:p>
    <w:p w14:paraId="7AB6822C" w14:textId="48524F49" w:rsidR="001B27C4" w:rsidRPr="005833C9" w:rsidRDefault="00FE38DD" w:rsidP="001704CC">
      <w:pPr>
        <w:pStyle w:val="EndNoteBibliography"/>
        <w:ind w:left="720" w:hanging="720"/>
        <w:rPr>
          <w:noProof/>
        </w:rPr>
      </w:pPr>
      <w:r w:rsidRPr="005833C9">
        <w:rPr>
          <w:noProof/>
        </w:rPr>
        <w:t xml:space="preserve">Young, C., Ball, S., Flott, E., Goodman, J., &amp; Hercinger, M. (2021, Sep). Threading QSEN Competencies Across a Baccalaureate Nursing Program: The Development of Dedicated QSEN Labs. </w:t>
      </w:r>
      <w:r w:rsidRPr="005833C9">
        <w:rPr>
          <w:i/>
          <w:noProof/>
        </w:rPr>
        <w:t>J Nurs Educ, 60</w:t>
      </w:r>
      <w:r w:rsidRPr="005833C9">
        <w:rPr>
          <w:noProof/>
        </w:rPr>
        <w:t xml:space="preserve">(9), 526-528. </w:t>
      </w:r>
      <w:r w:rsidRPr="00FE38DD">
        <w:rPr>
          <w:noProof/>
        </w:rPr>
        <w:t>https://doi.org/10.3928/01484834-20210719-02</w:t>
      </w:r>
      <w:r w:rsidRPr="005833C9">
        <w:rPr>
          <w:noProof/>
        </w:rPr>
        <w:t xml:space="preserve"> </w:t>
      </w:r>
    </w:p>
    <w:p w14:paraId="07AE1976" w14:textId="6E1FAC67" w:rsidR="001B27C4" w:rsidRPr="00265BF9" w:rsidRDefault="001B27C4">
      <w:pPr>
        <w:rPr>
          <w:sz w:val="22"/>
          <w:szCs w:val="22"/>
        </w:rPr>
        <w:sectPr w:rsidR="001B27C4" w:rsidRPr="00265BF9" w:rsidSect="00E92A2B">
          <w:pgSz w:w="12240" w:h="15840"/>
          <w:pgMar w:top="720" w:right="720" w:bottom="720" w:left="720" w:header="720" w:footer="720" w:gutter="0"/>
          <w:cols w:space="720"/>
          <w:docGrid w:linePitch="360"/>
        </w:sectPr>
      </w:pPr>
    </w:p>
    <w:p w14:paraId="3D138847" w14:textId="77777777" w:rsidR="00FE38DD" w:rsidRPr="00075EB8" w:rsidRDefault="00FE38DD">
      <w:pPr>
        <w:rPr>
          <w:b/>
          <w:bCs/>
          <w:sz w:val="22"/>
          <w:szCs w:val="22"/>
        </w:rPr>
      </w:pPr>
      <w:r w:rsidRPr="00221A1B">
        <w:rPr>
          <w:b/>
          <w:bCs/>
          <w:sz w:val="22"/>
          <w:szCs w:val="22"/>
        </w:rPr>
        <w:lastRenderedPageBreak/>
        <w:t>Domain 1. Knowledge for Nursing Practice</w:t>
      </w:r>
    </w:p>
    <w:tbl>
      <w:tblPr>
        <w:tblStyle w:val="TableGrid"/>
        <w:tblW w:w="14395" w:type="dxa"/>
        <w:tblLook w:val="04A0" w:firstRow="1" w:lastRow="0" w:firstColumn="1" w:lastColumn="0" w:noHBand="0" w:noVBand="1"/>
      </w:tblPr>
      <w:tblGrid>
        <w:gridCol w:w="2875"/>
        <w:gridCol w:w="4050"/>
        <w:gridCol w:w="2816"/>
        <w:gridCol w:w="4654"/>
      </w:tblGrid>
      <w:tr w:rsidR="00FE38DD" w:rsidRPr="00221A1B" w14:paraId="141D2255" w14:textId="77777777" w:rsidTr="00A659E1">
        <w:tc>
          <w:tcPr>
            <w:tcW w:w="14395" w:type="dxa"/>
            <w:gridSpan w:val="4"/>
            <w:tcBorders>
              <w:bottom w:val="single" w:sz="4" w:space="0" w:color="auto"/>
            </w:tcBorders>
            <w:shd w:val="clear" w:color="auto" w:fill="D9D9D9" w:themeFill="background1" w:themeFillShade="D9"/>
          </w:tcPr>
          <w:p w14:paraId="315FDF6A" w14:textId="77777777" w:rsidR="00FE38DD" w:rsidRPr="00F20F27" w:rsidRDefault="00FE38DD" w:rsidP="00A659E1">
            <w:pPr>
              <w:rPr>
                <w:b/>
                <w:bCs/>
                <w:sz w:val="22"/>
                <w:szCs w:val="22"/>
              </w:rPr>
            </w:pPr>
            <w:r w:rsidRPr="00F20F27">
              <w:rPr>
                <w:b/>
                <w:bCs/>
                <w:sz w:val="22"/>
                <w:szCs w:val="22"/>
              </w:rPr>
              <w:t>1.2. Apply theory and research-based knowledge from nursing, the arts, humanities, and other sciences.</w:t>
            </w:r>
          </w:p>
          <w:p w14:paraId="460AB442" w14:textId="77777777" w:rsidR="00FE38DD" w:rsidRPr="00F20F27" w:rsidRDefault="00FE38DD" w:rsidP="00A659E1">
            <w:pPr>
              <w:ind w:left="787" w:hanging="450"/>
              <w:rPr>
                <w:sz w:val="22"/>
                <w:szCs w:val="22"/>
              </w:rPr>
            </w:pPr>
            <w:r w:rsidRPr="00F20F27">
              <w:rPr>
                <w:sz w:val="22"/>
                <w:szCs w:val="22"/>
              </w:rPr>
              <w:t>1.2d Apply or employ knowledge from nursing sciences as well as the natural, physical, and social sciences to build an understanding of the human experience and nursing practice. (E)</w:t>
            </w:r>
          </w:p>
          <w:p w14:paraId="23B21E25" w14:textId="77777777" w:rsidR="00FE38DD" w:rsidRPr="00F20F27" w:rsidRDefault="00FE38DD" w:rsidP="00A659E1">
            <w:pPr>
              <w:ind w:left="787" w:hanging="450"/>
              <w:rPr>
                <w:sz w:val="22"/>
                <w:szCs w:val="22"/>
              </w:rPr>
            </w:pPr>
            <w:r w:rsidRPr="00F20F27">
              <w:rPr>
                <w:sz w:val="22"/>
                <w:szCs w:val="22"/>
              </w:rPr>
              <w:t>1.2j Translate theories from nursing and other disciplines to practice. (A)</w:t>
            </w:r>
          </w:p>
          <w:p w14:paraId="033B46F0" w14:textId="77777777" w:rsidR="00FE38DD" w:rsidRPr="00F20F27" w:rsidRDefault="00FE38DD">
            <w:pPr>
              <w:rPr>
                <w:b/>
                <w:bCs/>
                <w:sz w:val="22"/>
                <w:szCs w:val="22"/>
              </w:rPr>
            </w:pPr>
          </w:p>
        </w:tc>
      </w:tr>
      <w:tr w:rsidR="00FE38DD" w:rsidRPr="00221A1B" w14:paraId="380087A5" w14:textId="77777777" w:rsidTr="00A659E1">
        <w:tc>
          <w:tcPr>
            <w:tcW w:w="2875" w:type="dxa"/>
            <w:tcBorders>
              <w:bottom w:val="single" w:sz="4" w:space="0" w:color="auto"/>
            </w:tcBorders>
            <w:shd w:val="clear" w:color="auto" w:fill="auto"/>
          </w:tcPr>
          <w:p w14:paraId="3CBAD2C0" w14:textId="77777777" w:rsidR="00FE38DD" w:rsidRPr="00221A1B" w:rsidRDefault="00FE38DD" w:rsidP="00A659E1">
            <w:pPr>
              <w:rPr>
                <w:b/>
                <w:bCs/>
                <w:sz w:val="22"/>
                <w:szCs w:val="22"/>
              </w:rPr>
            </w:pPr>
            <w:r w:rsidRPr="00221A1B">
              <w:rPr>
                <w:b/>
                <w:bCs/>
                <w:sz w:val="22"/>
                <w:szCs w:val="22"/>
              </w:rPr>
              <w:t>Recommended Content</w:t>
            </w:r>
          </w:p>
        </w:tc>
        <w:tc>
          <w:tcPr>
            <w:tcW w:w="4050" w:type="dxa"/>
            <w:tcBorders>
              <w:bottom w:val="single" w:sz="4" w:space="0" w:color="auto"/>
            </w:tcBorders>
            <w:shd w:val="clear" w:color="auto" w:fill="auto"/>
          </w:tcPr>
          <w:p w14:paraId="6633DF3F" w14:textId="77777777" w:rsidR="00FE38DD" w:rsidRPr="00F20F27" w:rsidRDefault="00FE38DD" w:rsidP="00A659E1">
            <w:pPr>
              <w:rPr>
                <w:b/>
                <w:bCs/>
                <w:sz w:val="22"/>
                <w:szCs w:val="22"/>
              </w:rPr>
            </w:pPr>
            <w:r w:rsidRPr="00F20F27">
              <w:rPr>
                <w:b/>
                <w:bCs/>
                <w:sz w:val="22"/>
                <w:szCs w:val="22"/>
              </w:rPr>
              <w:t>Learning Strategies</w:t>
            </w:r>
          </w:p>
        </w:tc>
        <w:tc>
          <w:tcPr>
            <w:tcW w:w="2816" w:type="dxa"/>
            <w:tcBorders>
              <w:bottom w:val="single" w:sz="4" w:space="0" w:color="auto"/>
            </w:tcBorders>
            <w:shd w:val="clear" w:color="auto" w:fill="auto"/>
          </w:tcPr>
          <w:p w14:paraId="6F08695F" w14:textId="77777777" w:rsidR="00FE38DD" w:rsidRPr="00F20F27" w:rsidRDefault="00FE38DD" w:rsidP="00A659E1">
            <w:pPr>
              <w:rPr>
                <w:b/>
                <w:bCs/>
                <w:sz w:val="22"/>
                <w:szCs w:val="22"/>
              </w:rPr>
            </w:pPr>
            <w:r w:rsidRPr="00F20F27">
              <w:rPr>
                <w:b/>
                <w:bCs/>
                <w:sz w:val="22"/>
                <w:szCs w:val="22"/>
              </w:rPr>
              <w:t>Assessment</w:t>
            </w:r>
          </w:p>
        </w:tc>
        <w:tc>
          <w:tcPr>
            <w:tcW w:w="4654" w:type="dxa"/>
            <w:tcBorders>
              <w:bottom w:val="single" w:sz="4" w:space="0" w:color="auto"/>
            </w:tcBorders>
            <w:shd w:val="clear" w:color="auto" w:fill="auto"/>
          </w:tcPr>
          <w:p w14:paraId="30BF5A86" w14:textId="77777777" w:rsidR="00FE38DD" w:rsidRPr="00221A1B" w:rsidRDefault="00FE38DD" w:rsidP="00A659E1">
            <w:pPr>
              <w:rPr>
                <w:b/>
                <w:bCs/>
                <w:sz w:val="22"/>
                <w:szCs w:val="22"/>
              </w:rPr>
            </w:pPr>
            <w:r w:rsidRPr="00221A1B">
              <w:rPr>
                <w:b/>
                <w:bCs/>
                <w:sz w:val="22"/>
                <w:szCs w:val="22"/>
              </w:rPr>
              <w:t>Resources</w:t>
            </w:r>
            <w:r>
              <w:rPr>
                <w:b/>
                <w:bCs/>
                <w:sz w:val="22"/>
                <w:szCs w:val="22"/>
              </w:rPr>
              <w:t xml:space="preserve"> and References</w:t>
            </w:r>
          </w:p>
        </w:tc>
      </w:tr>
      <w:tr w:rsidR="00FE38DD" w:rsidRPr="00221A1B" w14:paraId="6EC9ED3E" w14:textId="77777777" w:rsidTr="00A659E1">
        <w:tc>
          <w:tcPr>
            <w:tcW w:w="2875" w:type="dxa"/>
          </w:tcPr>
          <w:p w14:paraId="07608AEE" w14:textId="77777777" w:rsidR="00FE38DD" w:rsidRPr="00221A1B" w:rsidRDefault="00FE38DD" w:rsidP="00A659E1">
            <w:pPr>
              <w:pStyle w:val="ListParagraph"/>
              <w:numPr>
                <w:ilvl w:val="0"/>
                <w:numId w:val="3"/>
              </w:numPr>
              <w:rPr>
                <w:rFonts w:ascii="Times New Roman" w:hAnsi="Times New Roman" w:cs="Times New Roman"/>
                <w:sz w:val="22"/>
                <w:szCs w:val="22"/>
              </w:rPr>
            </w:pPr>
            <w:r w:rsidRPr="00221A1B">
              <w:rPr>
                <w:rFonts w:ascii="Times New Roman" w:hAnsi="Times New Roman" w:cs="Times New Roman"/>
                <w:sz w:val="22"/>
                <w:szCs w:val="22"/>
              </w:rPr>
              <w:t>Task communication</w:t>
            </w:r>
            <w:r w:rsidRPr="00221A1B">
              <w:rPr>
                <w:rFonts w:ascii="Times New Roman" w:hAnsi="Times New Roman" w:cs="Times New Roman"/>
                <w:sz w:val="22"/>
                <w:szCs w:val="22"/>
                <w:vertAlign w:val="superscript"/>
              </w:rPr>
              <w:t xml:space="preserve"> k</w:t>
            </w:r>
          </w:p>
          <w:p w14:paraId="1DBE729A" w14:textId="77777777" w:rsidR="00FE38DD" w:rsidRPr="00221A1B" w:rsidRDefault="00FE38DD" w:rsidP="00A659E1">
            <w:pPr>
              <w:pStyle w:val="ListParagraph"/>
              <w:numPr>
                <w:ilvl w:val="0"/>
                <w:numId w:val="3"/>
              </w:numPr>
              <w:rPr>
                <w:rFonts w:ascii="Times New Roman" w:hAnsi="Times New Roman" w:cs="Times New Roman"/>
                <w:sz w:val="22"/>
                <w:szCs w:val="22"/>
              </w:rPr>
            </w:pPr>
            <w:r w:rsidRPr="00221A1B">
              <w:rPr>
                <w:rFonts w:ascii="Times New Roman" w:hAnsi="Times New Roman" w:cs="Times New Roman"/>
                <w:sz w:val="22"/>
                <w:szCs w:val="22"/>
              </w:rPr>
              <w:t>Relational communication</w:t>
            </w:r>
            <w:r w:rsidRPr="00221A1B">
              <w:rPr>
                <w:rFonts w:ascii="Times New Roman" w:hAnsi="Times New Roman" w:cs="Times New Roman"/>
                <w:sz w:val="22"/>
                <w:szCs w:val="22"/>
                <w:vertAlign w:val="superscript"/>
              </w:rPr>
              <w:t xml:space="preserve"> k</w:t>
            </w:r>
          </w:p>
          <w:p w14:paraId="2E3F42E1" w14:textId="77777777" w:rsidR="00FE38DD" w:rsidRPr="00221A1B" w:rsidRDefault="00FE38DD" w:rsidP="00A659E1">
            <w:pPr>
              <w:pStyle w:val="ListParagraph"/>
              <w:numPr>
                <w:ilvl w:val="0"/>
                <w:numId w:val="3"/>
              </w:numPr>
              <w:rPr>
                <w:rFonts w:ascii="Times New Roman" w:hAnsi="Times New Roman" w:cs="Times New Roman"/>
                <w:sz w:val="22"/>
                <w:szCs w:val="22"/>
              </w:rPr>
            </w:pPr>
            <w:r w:rsidRPr="00221A1B">
              <w:rPr>
                <w:rFonts w:ascii="Times New Roman" w:hAnsi="Times New Roman" w:cs="Times New Roman"/>
                <w:sz w:val="22"/>
                <w:szCs w:val="22"/>
              </w:rPr>
              <w:t>Transactional Communication Model</w:t>
            </w:r>
            <w:r w:rsidRPr="00221A1B">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a,</w:t>
            </w:r>
            <w:r w:rsidRPr="00221A1B">
              <w:rPr>
                <w:rFonts w:ascii="Times New Roman" w:hAnsi="Times New Roman" w:cs="Times New Roman"/>
                <w:sz w:val="22"/>
                <w:szCs w:val="22"/>
                <w:vertAlign w:val="superscript"/>
              </w:rPr>
              <w:t>k</w:t>
            </w:r>
          </w:p>
        </w:tc>
        <w:tc>
          <w:tcPr>
            <w:tcW w:w="4050" w:type="dxa"/>
          </w:tcPr>
          <w:p w14:paraId="4BF58FC6"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Differentiate task from relational communication</w:t>
            </w:r>
          </w:p>
          <w:p w14:paraId="26997732"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In small groups students build original models of communication that employ task and relational</w:t>
            </w:r>
          </w:p>
          <w:p w14:paraId="687E91F4"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 xml:space="preserve">Students work in groups to identify the presence of task and relational communication in a case </w:t>
            </w:r>
            <w:r>
              <w:rPr>
                <w:rFonts w:ascii="Times New Roman" w:hAnsi="Times New Roman" w:cs="Times New Roman"/>
                <w:sz w:val="22"/>
                <w:szCs w:val="22"/>
              </w:rPr>
              <w:t>study</w:t>
            </w:r>
          </w:p>
          <w:p w14:paraId="5AB220D8"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Pose a reading of an interaction in which the concept of communication can be featured for discussion</w:t>
            </w:r>
          </w:p>
          <w:p w14:paraId="7EA2EB30"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Explore the definition of communication and the notion of it being teachable</w:t>
            </w:r>
          </w:p>
          <w:p w14:paraId="4B257FC8"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Explore assumptions about communication</w:t>
            </w:r>
          </w:p>
          <w:p w14:paraId="78A3F27F" w14:textId="77777777" w:rsidR="00FE38DD" w:rsidRPr="00F20F27"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Explore the meaning of ‘good communication’ and its significant limitations to improving practice skills</w:t>
            </w:r>
          </w:p>
          <w:p w14:paraId="2D9DF151" w14:textId="77777777" w:rsidR="00FE38DD" w:rsidRDefault="00FE38DD" w:rsidP="00A659E1">
            <w:pPr>
              <w:pStyle w:val="ListParagraph"/>
              <w:numPr>
                <w:ilvl w:val="0"/>
                <w:numId w:val="3"/>
              </w:numPr>
              <w:rPr>
                <w:rFonts w:ascii="Times New Roman" w:hAnsi="Times New Roman" w:cs="Times New Roman"/>
                <w:sz w:val="22"/>
                <w:szCs w:val="22"/>
              </w:rPr>
            </w:pPr>
            <w:r w:rsidRPr="00F20F27">
              <w:rPr>
                <w:rFonts w:ascii="Times New Roman" w:hAnsi="Times New Roman" w:cs="Times New Roman"/>
                <w:sz w:val="22"/>
                <w:szCs w:val="22"/>
              </w:rPr>
              <w:t>Utilize the practical experience of students who have witnessed communication in healthcare that is lacking in the relational component and how this could have been different</w:t>
            </w:r>
          </w:p>
          <w:p w14:paraId="7F4A2FB8" w14:textId="7AB58FC6" w:rsidR="003B5C5D" w:rsidRPr="00642C21" w:rsidRDefault="003B5C5D" w:rsidP="003B5C5D">
            <w:pPr>
              <w:pStyle w:val="ListParagraph"/>
              <w:numPr>
                <w:ilvl w:val="0"/>
                <w:numId w:val="3"/>
              </w:numPr>
              <w:rPr>
                <w:rFonts w:ascii="Times New Roman" w:hAnsi="Times New Roman" w:cs="Times New Roman"/>
                <w:sz w:val="22"/>
                <w:szCs w:val="22"/>
              </w:rPr>
            </w:pPr>
            <w:r w:rsidRPr="00642C21">
              <w:rPr>
                <w:rFonts w:ascii="Times New Roman" w:hAnsi="Times New Roman" w:cs="Times New Roman"/>
                <w:sz w:val="22"/>
                <w:szCs w:val="22"/>
              </w:rPr>
              <w:t>Compare and contrast effective and ineffective communication skills</w:t>
            </w:r>
          </w:p>
          <w:p w14:paraId="642F0207" w14:textId="60BB9B2C" w:rsidR="009773A7" w:rsidRPr="00642C21" w:rsidRDefault="009773A7" w:rsidP="009773A7">
            <w:pPr>
              <w:pStyle w:val="ListParagraph"/>
              <w:numPr>
                <w:ilvl w:val="0"/>
                <w:numId w:val="3"/>
              </w:numPr>
              <w:rPr>
                <w:rFonts w:ascii="Times New Roman" w:hAnsi="Times New Roman" w:cs="Times New Roman"/>
                <w:sz w:val="22"/>
                <w:szCs w:val="22"/>
              </w:rPr>
            </w:pPr>
            <w:r w:rsidRPr="00642C21">
              <w:rPr>
                <w:rFonts w:ascii="Times New Roman" w:hAnsi="Times New Roman" w:cs="Times New Roman"/>
                <w:sz w:val="22"/>
                <w:szCs w:val="22"/>
              </w:rPr>
              <w:t xml:space="preserve">Apply feedback to optimize communication </w:t>
            </w:r>
            <w:r w:rsidR="00C4381C" w:rsidRPr="00642C21">
              <w:rPr>
                <w:rFonts w:ascii="Times New Roman" w:hAnsi="Times New Roman" w:cs="Times New Roman"/>
                <w:sz w:val="22"/>
                <w:szCs w:val="22"/>
              </w:rPr>
              <w:t>through</w:t>
            </w:r>
            <w:r w:rsidR="0020397E" w:rsidRPr="00642C21">
              <w:rPr>
                <w:rFonts w:ascii="Times New Roman" w:hAnsi="Times New Roman" w:cs="Times New Roman"/>
                <w:sz w:val="22"/>
                <w:szCs w:val="22"/>
              </w:rPr>
              <w:t xml:space="preserve"> collaboration in healthcare</w:t>
            </w:r>
            <w:r w:rsidRPr="00642C21">
              <w:rPr>
                <w:rFonts w:ascii="Times New Roman" w:hAnsi="Times New Roman" w:cs="Times New Roman"/>
                <w:sz w:val="22"/>
                <w:szCs w:val="22"/>
              </w:rPr>
              <w:t xml:space="preserve"> </w:t>
            </w:r>
            <w:r w:rsidR="00C4381C" w:rsidRPr="00642C21">
              <w:rPr>
                <w:rFonts w:ascii="Times New Roman" w:hAnsi="Times New Roman" w:cs="Times New Roman"/>
                <w:sz w:val="22"/>
                <w:szCs w:val="22"/>
              </w:rPr>
              <w:t xml:space="preserve">systems. </w:t>
            </w:r>
          </w:p>
          <w:p w14:paraId="449ADFFB" w14:textId="31F5282F" w:rsidR="003B5C5D" w:rsidRPr="003B5C5D" w:rsidRDefault="003B5C5D" w:rsidP="003B5C5D">
            <w:pPr>
              <w:pStyle w:val="ListParagraph"/>
              <w:ind w:left="360"/>
              <w:rPr>
                <w:rFonts w:ascii="Times New Roman" w:hAnsi="Times New Roman" w:cs="Times New Roman"/>
                <w:sz w:val="22"/>
                <w:szCs w:val="22"/>
              </w:rPr>
            </w:pPr>
          </w:p>
        </w:tc>
        <w:tc>
          <w:tcPr>
            <w:tcW w:w="2816" w:type="dxa"/>
          </w:tcPr>
          <w:p w14:paraId="048F851E" w14:textId="77777777" w:rsidR="00FE38DD" w:rsidRDefault="00FE38DD" w:rsidP="00A659E1">
            <w:pPr>
              <w:pStyle w:val="ListParagraph"/>
              <w:numPr>
                <w:ilvl w:val="0"/>
                <w:numId w:val="3"/>
              </w:numPr>
              <w:rPr>
                <w:rFonts w:ascii="Times New Roman" w:hAnsi="Times New Roman" w:cs="Times New Roman"/>
                <w:iCs/>
                <w:sz w:val="22"/>
                <w:szCs w:val="22"/>
              </w:rPr>
            </w:pPr>
            <w:r w:rsidRPr="00542D15">
              <w:rPr>
                <w:rFonts w:ascii="Times New Roman" w:hAnsi="Times New Roman" w:cs="Times New Roman"/>
                <w:iCs/>
                <w:sz w:val="22"/>
                <w:szCs w:val="22"/>
              </w:rPr>
              <w:t>Interpersonal Communication Assessment Scale (</w:t>
            </w:r>
            <w:r>
              <w:rPr>
                <w:rFonts w:ascii="Times New Roman" w:hAnsi="Times New Roman" w:cs="Times New Roman"/>
                <w:iCs/>
                <w:sz w:val="22"/>
                <w:szCs w:val="22"/>
              </w:rPr>
              <w:t>Klakovich &amp; Dela Cruz, 2006)</w:t>
            </w:r>
          </w:p>
          <w:p w14:paraId="10F276B7" w14:textId="77777777" w:rsidR="00FE38DD" w:rsidRPr="004324E4" w:rsidRDefault="00FE38DD" w:rsidP="00A659E1">
            <w:pPr>
              <w:pStyle w:val="ListParagraph"/>
              <w:numPr>
                <w:ilvl w:val="0"/>
                <w:numId w:val="3"/>
              </w:numPr>
              <w:rPr>
                <w:rFonts w:ascii="Times New Roman" w:hAnsi="Times New Roman" w:cs="Times New Roman"/>
                <w:iCs/>
                <w:sz w:val="22"/>
                <w:szCs w:val="22"/>
              </w:rPr>
            </w:pPr>
            <w:r w:rsidRPr="004324E4">
              <w:rPr>
                <w:rFonts w:ascii="Times New Roman" w:hAnsi="Times New Roman" w:cs="Times New Roman"/>
                <w:iCs/>
                <w:sz w:val="22"/>
                <w:szCs w:val="22"/>
              </w:rPr>
              <w:t xml:space="preserve">Communication Skills Attitude Scale (Reese, Sheard, &amp; Davies, </w:t>
            </w:r>
            <w:r w:rsidRPr="00AB15BE">
              <w:rPr>
                <w:rFonts w:ascii="Times New Roman" w:hAnsi="Times New Roman" w:cs="Times New Roman"/>
                <w:iCs/>
              </w:rPr>
              <w:t>2002</w:t>
            </w:r>
            <w:r w:rsidRPr="004324E4">
              <w:rPr>
                <w:rFonts w:ascii="Times New Roman" w:hAnsi="Times New Roman" w:cs="Times New Roman"/>
                <w:iCs/>
                <w:sz w:val="22"/>
                <w:szCs w:val="22"/>
              </w:rPr>
              <w:t>)</w:t>
            </w:r>
          </w:p>
        </w:tc>
        <w:tc>
          <w:tcPr>
            <w:tcW w:w="4654" w:type="dxa"/>
          </w:tcPr>
          <w:p w14:paraId="40C10167" w14:textId="77777777" w:rsidR="00FE38DD" w:rsidRPr="00642C21" w:rsidRDefault="00FE38DD" w:rsidP="00A659E1">
            <w:pPr>
              <w:rPr>
                <w:sz w:val="22"/>
                <w:szCs w:val="22"/>
              </w:rPr>
            </w:pPr>
            <w:r w:rsidRPr="00642C21">
              <w:rPr>
                <w:sz w:val="22"/>
                <w:szCs w:val="22"/>
              </w:rPr>
              <w:t xml:space="preserve">Wittenberg, E., Goldsmith, J.V., Ragan, S. L.., &amp; Parnell, T. A. (2020). </w:t>
            </w:r>
            <w:r w:rsidRPr="00642C21">
              <w:rPr>
                <w:i/>
                <w:iCs/>
                <w:sz w:val="22"/>
                <w:szCs w:val="22"/>
              </w:rPr>
              <w:t>Communication in Palliative Nursing</w:t>
            </w:r>
            <w:r w:rsidRPr="00642C21">
              <w:rPr>
                <w:sz w:val="22"/>
                <w:szCs w:val="22"/>
              </w:rPr>
              <w:t xml:space="preserve"> (Chapter 1)</w:t>
            </w:r>
            <w:r w:rsidRPr="00642C21">
              <w:rPr>
                <w:i/>
                <w:iCs/>
                <w:sz w:val="22"/>
                <w:szCs w:val="22"/>
              </w:rPr>
              <w:t xml:space="preserve">. </w:t>
            </w:r>
            <w:r w:rsidRPr="00642C21">
              <w:rPr>
                <w:sz w:val="22"/>
                <w:szCs w:val="22"/>
              </w:rPr>
              <w:t>New York: Oxford University Press.</w:t>
            </w:r>
          </w:p>
          <w:p w14:paraId="475FABBA" w14:textId="77777777" w:rsidR="00FE38DD" w:rsidRPr="00642C21" w:rsidRDefault="00FE38DD" w:rsidP="00A659E1">
            <w:pPr>
              <w:rPr>
                <w:sz w:val="22"/>
                <w:szCs w:val="22"/>
              </w:rPr>
            </w:pPr>
          </w:p>
          <w:p w14:paraId="3C4BDA35" w14:textId="77777777" w:rsidR="00FE38DD" w:rsidRPr="00642C21" w:rsidRDefault="00FE38DD" w:rsidP="00A659E1">
            <w:pPr>
              <w:rPr>
                <w:sz w:val="22"/>
                <w:szCs w:val="22"/>
              </w:rPr>
            </w:pPr>
            <w:r w:rsidRPr="00642C21">
              <w:rPr>
                <w:sz w:val="22"/>
                <w:szCs w:val="22"/>
              </w:rPr>
              <w:t xml:space="preserve">Du Pre, A., &amp; Foster, E. (2015). Transactional Communication. In E. Wittenberg et al (Eds). </w:t>
            </w:r>
            <w:r w:rsidRPr="00642C21">
              <w:rPr>
                <w:i/>
                <w:iCs/>
                <w:sz w:val="22"/>
                <w:szCs w:val="22"/>
              </w:rPr>
              <w:t>Textbook of Palliative Care Communication.</w:t>
            </w:r>
            <w:r w:rsidRPr="00642C21">
              <w:rPr>
                <w:sz w:val="22"/>
                <w:szCs w:val="22"/>
              </w:rPr>
              <w:t xml:space="preserve"> New York: Oxford University Press.</w:t>
            </w:r>
          </w:p>
          <w:p w14:paraId="44FF02B6" w14:textId="77777777" w:rsidR="00FE38DD" w:rsidRPr="00642C21" w:rsidRDefault="00FE38DD" w:rsidP="00A659E1">
            <w:pPr>
              <w:rPr>
                <w:sz w:val="22"/>
                <w:szCs w:val="22"/>
              </w:rPr>
            </w:pPr>
          </w:p>
          <w:p w14:paraId="0617E9B2" w14:textId="77777777" w:rsidR="00FE38DD" w:rsidRPr="00642C21" w:rsidRDefault="00FE38DD" w:rsidP="00A659E1">
            <w:pPr>
              <w:autoSpaceDE w:val="0"/>
              <w:autoSpaceDN w:val="0"/>
              <w:adjustRightInd w:val="0"/>
              <w:ind w:right="70"/>
              <w:rPr>
                <w:rFonts w:eastAsiaTheme="minorHAnsi"/>
                <w:sz w:val="22"/>
                <w:szCs w:val="22"/>
              </w:rPr>
            </w:pPr>
            <w:r w:rsidRPr="00642C21">
              <w:rPr>
                <w:rFonts w:eastAsiaTheme="minorHAnsi"/>
                <w:sz w:val="22"/>
                <w:szCs w:val="22"/>
              </w:rPr>
              <w:t xml:space="preserve">Paige, S. R., Stellefson, M., Krieger, J. L., Anderson-Lewis, C., Cheong, J., &amp; Stopka, C. (2018, Oct 2). Proposing a Transactional Model of eHealth Literacy: Concept Analysis. </w:t>
            </w:r>
            <w:r w:rsidRPr="00642C21">
              <w:rPr>
                <w:rFonts w:eastAsiaTheme="minorHAnsi"/>
                <w:i/>
                <w:iCs/>
                <w:sz w:val="22"/>
                <w:szCs w:val="22"/>
              </w:rPr>
              <w:t>J Med Internet Res, 20</w:t>
            </w:r>
            <w:r w:rsidRPr="00642C21">
              <w:rPr>
                <w:rFonts w:eastAsiaTheme="minorHAnsi"/>
                <w:sz w:val="22"/>
                <w:szCs w:val="22"/>
              </w:rPr>
              <w:t xml:space="preserve">(10), e10175. https://doi.org/10.2196/10175 </w:t>
            </w:r>
          </w:p>
          <w:p w14:paraId="5E6D0284" w14:textId="77777777" w:rsidR="00FE38DD" w:rsidRPr="00642C21" w:rsidRDefault="00FE38DD" w:rsidP="00A659E1">
            <w:pPr>
              <w:autoSpaceDE w:val="0"/>
              <w:autoSpaceDN w:val="0"/>
              <w:adjustRightInd w:val="0"/>
              <w:ind w:right="70"/>
              <w:rPr>
                <w:rFonts w:eastAsiaTheme="minorHAnsi"/>
                <w:sz w:val="22"/>
                <w:szCs w:val="22"/>
              </w:rPr>
            </w:pPr>
          </w:p>
          <w:p w14:paraId="17066C47" w14:textId="77777777" w:rsidR="00FE38DD" w:rsidRPr="00642C21" w:rsidRDefault="00FE38DD" w:rsidP="00A659E1">
            <w:pPr>
              <w:autoSpaceDE w:val="0"/>
              <w:autoSpaceDN w:val="0"/>
              <w:adjustRightInd w:val="0"/>
              <w:ind w:right="70"/>
              <w:rPr>
                <w:rFonts w:eastAsiaTheme="minorHAnsi"/>
                <w:sz w:val="22"/>
                <w:szCs w:val="22"/>
              </w:rPr>
            </w:pPr>
            <w:r w:rsidRPr="00642C21">
              <w:rPr>
                <w:rFonts w:eastAsiaTheme="minorHAnsi"/>
                <w:sz w:val="22"/>
                <w:szCs w:val="22"/>
              </w:rPr>
              <w:t xml:space="preserve">Pedersen, K. Z., &amp; Mesman, J. (2021, Jul-Aug). A transactional approach to patient safety: understanding safe care as a collaborative accomplishment. </w:t>
            </w:r>
            <w:r w:rsidRPr="00642C21">
              <w:rPr>
                <w:rFonts w:eastAsiaTheme="minorHAnsi"/>
                <w:i/>
                <w:iCs/>
                <w:sz w:val="22"/>
                <w:szCs w:val="22"/>
              </w:rPr>
              <w:t>J Interprof Care, 35</w:t>
            </w:r>
            <w:r w:rsidRPr="00642C21">
              <w:rPr>
                <w:rFonts w:eastAsiaTheme="minorHAnsi"/>
                <w:sz w:val="22"/>
                <w:szCs w:val="22"/>
              </w:rPr>
              <w:t xml:space="preserve">(4), 503-513. https://doi.org/10.1080/13561820.2021.1874317 </w:t>
            </w:r>
          </w:p>
          <w:p w14:paraId="6C74AFF7" w14:textId="77777777" w:rsidR="00FE38DD" w:rsidRPr="00642C21" w:rsidRDefault="00FE38DD" w:rsidP="00A659E1">
            <w:pPr>
              <w:autoSpaceDE w:val="0"/>
              <w:autoSpaceDN w:val="0"/>
              <w:adjustRightInd w:val="0"/>
              <w:ind w:right="-720"/>
              <w:rPr>
                <w:rFonts w:eastAsiaTheme="minorHAnsi"/>
                <w:sz w:val="22"/>
                <w:szCs w:val="22"/>
              </w:rPr>
            </w:pPr>
          </w:p>
          <w:p w14:paraId="538F7E35" w14:textId="77777777" w:rsidR="00FE38DD" w:rsidRPr="00642C21" w:rsidRDefault="00FE38DD" w:rsidP="00A659E1">
            <w:pPr>
              <w:autoSpaceDE w:val="0"/>
              <w:autoSpaceDN w:val="0"/>
              <w:adjustRightInd w:val="0"/>
              <w:ind w:right="-20"/>
              <w:rPr>
                <w:rFonts w:eastAsiaTheme="minorHAnsi"/>
                <w:sz w:val="22"/>
                <w:szCs w:val="22"/>
              </w:rPr>
            </w:pPr>
            <w:r w:rsidRPr="00642C21">
              <w:rPr>
                <w:rFonts w:eastAsiaTheme="minorHAnsi"/>
                <w:sz w:val="22"/>
                <w:szCs w:val="22"/>
              </w:rPr>
              <w:t xml:space="preserve">Klakovich, M. D., &amp; Dela Cruz, F. A. (2006, Jan-Feb). Validating the Interpersonal Communication Assessment Scale. </w:t>
            </w:r>
            <w:r w:rsidRPr="00642C21">
              <w:rPr>
                <w:rFonts w:eastAsiaTheme="minorHAnsi"/>
                <w:i/>
                <w:iCs/>
                <w:sz w:val="22"/>
                <w:szCs w:val="22"/>
              </w:rPr>
              <w:t>J Prof Nurs, 22</w:t>
            </w:r>
            <w:r w:rsidRPr="00642C21">
              <w:rPr>
                <w:rFonts w:eastAsiaTheme="minorHAnsi"/>
                <w:sz w:val="22"/>
                <w:szCs w:val="22"/>
              </w:rPr>
              <w:t xml:space="preserve">(1), 60-67. https://doi.org/10.1016/j.profnurs.2005.12.005 </w:t>
            </w:r>
          </w:p>
          <w:p w14:paraId="68F7B0D1" w14:textId="48601BB1" w:rsidR="00AB15BE" w:rsidRPr="00642C21" w:rsidRDefault="00AB15BE" w:rsidP="00AB15BE">
            <w:pPr>
              <w:pStyle w:val="muitypography-root"/>
              <w:shd w:val="clear" w:color="auto" w:fill="FFFFFF"/>
              <w:spacing w:before="0" w:beforeAutospacing="0" w:after="0" w:afterAutospacing="0" w:line="300" w:lineRule="atLeast"/>
              <w:rPr>
                <w:color w:val="000000" w:themeColor="text1"/>
                <w:sz w:val="22"/>
                <w:szCs w:val="22"/>
              </w:rPr>
            </w:pPr>
            <w:r w:rsidRPr="00642C21">
              <w:rPr>
                <w:rFonts w:ascii="Lato" w:hAnsi="Lato"/>
                <w:b/>
                <w:bCs/>
                <w:sz w:val="22"/>
                <w:szCs w:val="22"/>
              </w:rPr>
              <w:br/>
            </w:r>
            <w:r w:rsidRPr="00642C21">
              <w:rPr>
                <w:color w:val="000000" w:themeColor="text1"/>
                <w:sz w:val="22"/>
                <w:szCs w:val="22"/>
              </w:rPr>
              <w:t>Donovan, L. M., &amp; Mullen, L. K. (2019). Expanding nursing simulation programs with a standardized patient protocol on therapeutic communication. </w:t>
            </w:r>
            <w:r w:rsidRPr="00642C21">
              <w:rPr>
                <w:i/>
                <w:iCs/>
                <w:color w:val="000000" w:themeColor="text1"/>
                <w:sz w:val="22"/>
                <w:szCs w:val="22"/>
              </w:rPr>
              <w:t>Nurse Education in Practice</w:t>
            </w:r>
            <w:r w:rsidRPr="00642C21">
              <w:rPr>
                <w:color w:val="000000" w:themeColor="text1"/>
                <w:sz w:val="22"/>
                <w:szCs w:val="22"/>
              </w:rPr>
              <w:t>, </w:t>
            </w:r>
            <w:r w:rsidRPr="00642C21">
              <w:rPr>
                <w:i/>
                <w:iCs/>
                <w:color w:val="000000" w:themeColor="text1"/>
                <w:sz w:val="22"/>
                <w:szCs w:val="22"/>
              </w:rPr>
              <w:t>38</w:t>
            </w:r>
            <w:r w:rsidRPr="00642C21">
              <w:rPr>
                <w:color w:val="000000" w:themeColor="text1"/>
                <w:sz w:val="22"/>
                <w:szCs w:val="22"/>
              </w:rPr>
              <w:t xml:space="preserve">, </w:t>
            </w:r>
            <w:r w:rsidRPr="00642C21">
              <w:rPr>
                <w:color w:val="000000" w:themeColor="text1"/>
                <w:sz w:val="22"/>
                <w:szCs w:val="22"/>
              </w:rPr>
              <w:lastRenderedPageBreak/>
              <w:t>126–131.</w:t>
            </w:r>
            <w:r w:rsidRPr="00642C21">
              <w:rPr>
                <w:rFonts w:ascii="Lato" w:hAnsi="Lato"/>
                <w:color w:val="000000" w:themeColor="text1"/>
                <w:sz w:val="22"/>
                <w:szCs w:val="22"/>
              </w:rPr>
              <w:t xml:space="preserve"> </w:t>
            </w:r>
            <w:r w:rsidRPr="00642C21">
              <w:rPr>
                <w:color w:val="000000" w:themeColor="text1"/>
                <w:sz w:val="22"/>
                <w:szCs w:val="22"/>
              </w:rPr>
              <w:t>https://doi.org/10.1016/j.nepr.2019.05.015</w:t>
            </w:r>
          </w:p>
          <w:p w14:paraId="42E98B40" w14:textId="77777777" w:rsidR="00FE38DD" w:rsidRPr="00642C21" w:rsidRDefault="00FE38DD" w:rsidP="00A659E1">
            <w:pPr>
              <w:autoSpaceDE w:val="0"/>
              <w:autoSpaceDN w:val="0"/>
              <w:adjustRightInd w:val="0"/>
              <w:ind w:right="-720"/>
              <w:rPr>
                <w:rFonts w:eastAsiaTheme="minorHAnsi"/>
                <w:color w:val="000000" w:themeColor="text1"/>
                <w:sz w:val="22"/>
                <w:szCs w:val="22"/>
              </w:rPr>
            </w:pPr>
          </w:p>
          <w:p w14:paraId="148FE17B" w14:textId="6C2D30E5" w:rsidR="00FE38DD" w:rsidRPr="00642C21" w:rsidRDefault="00FE38DD" w:rsidP="00A659E1">
            <w:pPr>
              <w:rPr>
                <w:sz w:val="22"/>
                <w:szCs w:val="22"/>
              </w:rPr>
            </w:pPr>
          </w:p>
        </w:tc>
      </w:tr>
    </w:tbl>
    <w:p w14:paraId="539F6141" w14:textId="77777777" w:rsidR="00FE38DD" w:rsidRPr="00CE5BCF" w:rsidRDefault="00FE38DD" w:rsidP="00A659E1">
      <w:pPr>
        <w:rPr>
          <w:sz w:val="22"/>
          <w:szCs w:val="22"/>
        </w:rPr>
      </w:pPr>
      <w:r w:rsidRPr="00CE5BCF">
        <w:rPr>
          <w:sz w:val="22"/>
          <w:szCs w:val="22"/>
        </w:rPr>
        <w:lastRenderedPageBreak/>
        <w:t>*E=entry-level; A=advanced-level</w:t>
      </w:r>
    </w:p>
    <w:p w14:paraId="2462CCA9" w14:textId="77777777" w:rsidR="00FE38DD" w:rsidRPr="007A1337" w:rsidRDefault="00FE38DD">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7D524542" w14:textId="77777777" w:rsidR="00FE38DD" w:rsidRDefault="00FE38DD" w:rsidP="00A659E1">
      <w:pPr>
        <w:rPr>
          <w:b/>
          <w:bCs/>
          <w:sz w:val="22"/>
          <w:szCs w:val="22"/>
        </w:rPr>
      </w:pPr>
    </w:p>
    <w:p w14:paraId="5837FB52" w14:textId="77777777" w:rsidR="00FE38DD" w:rsidRPr="0083177B" w:rsidRDefault="00FE38DD" w:rsidP="00A659E1">
      <w:pPr>
        <w:rPr>
          <w:b/>
          <w:bCs/>
          <w:sz w:val="22"/>
          <w:szCs w:val="22"/>
        </w:rPr>
      </w:pPr>
      <w:r w:rsidRPr="00B85801">
        <w:rPr>
          <w:b/>
          <w:bCs/>
          <w:sz w:val="22"/>
          <w:szCs w:val="22"/>
        </w:rPr>
        <w:t xml:space="preserve">Domain </w:t>
      </w:r>
      <w:r>
        <w:rPr>
          <w:b/>
          <w:bCs/>
          <w:sz w:val="22"/>
          <w:szCs w:val="22"/>
        </w:rPr>
        <w:t>2</w:t>
      </w:r>
      <w:r w:rsidRPr="00B85801">
        <w:rPr>
          <w:b/>
          <w:bCs/>
          <w:sz w:val="22"/>
          <w:szCs w:val="22"/>
        </w:rPr>
        <w:t>.</w:t>
      </w:r>
      <w:r>
        <w:rPr>
          <w:b/>
          <w:bCs/>
          <w:sz w:val="22"/>
          <w:szCs w:val="22"/>
        </w:rPr>
        <w:t xml:space="preserve"> Person-Centered Care</w:t>
      </w:r>
    </w:p>
    <w:tbl>
      <w:tblPr>
        <w:tblStyle w:val="TableGrid"/>
        <w:tblW w:w="14395" w:type="dxa"/>
        <w:tblLayout w:type="fixed"/>
        <w:tblLook w:val="04A0" w:firstRow="1" w:lastRow="0" w:firstColumn="1" w:lastColumn="0" w:noHBand="0" w:noVBand="1"/>
      </w:tblPr>
      <w:tblGrid>
        <w:gridCol w:w="2875"/>
        <w:gridCol w:w="3780"/>
        <w:gridCol w:w="2700"/>
        <w:gridCol w:w="5040"/>
      </w:tblGrid>
      <w:tr w:rsidR="00FE38DD" w:rsidRPr="00221A1B" w14:paraId="6FFF57F8" w14:textId="77777777" w:rsidTr="00A659E1">
        <w:tc>
          <w:tcPr>
            <w:tcW w:w="14395" w:type="dxa"/>
            <w:gridSpan w:val="4"/>
            <w:tcBorders>
              <w:bottom w:val="single" w:sz="4" w:space="0" w:color="auto"/>
            </w:tcBorders>
            <w:shd w:val="clear" w:color="auto" w:fill="D9D9D9" w:themeFill="background1" w:themeFillShade="D9"/>
          </w:tcPr>
          <w:p w14:paraId="76B16CDA" w14:textId="77777777" w:rsidR="00FE38DD" w:rsidRPr="0083177B" w:rsidRDefault="00FE38DD" w:rsidP="00A659E1">
            <w:pPr>
              <w:rPr>
                <w:b/>
                <w:bCs/>
                <w:sz w:val="22"/>
                <w:szCs w:val="22"/>
              </w:rPr>
            </w:pPr>
            <w:r w:rsidRPr="0083177B">
              <w:rPr>
                <w:b/>
                <w:bCs/>
                <w:sz w:val="22"/>
                <w:szCs w:val="22"/>
              </w:rPr>
              <w:t>2.1 Engage with the individual in establishing a caring relationship.</w:t>
            </w:r>
          </w:p>
          <w:p w14:paraId="0FA9CEE6" w14:textId="77777777" w:rsidR="00FE38DD" w:rsidRPr="0083177B" w:rsidRDefault="00FE38DD" w:rsidP="00A659E1">
            <w:pPr>
              <w:ind w:left="337"/>
              <w:rPr>
                <w:sz w:val="22"/>
                <w:szCs w:val="22"/>
              </w:rPr>
            </w:pPr>
            <w:r w:rsidRPr="0083177B">
              <w:rPr>
                <w:sz w:val="22"/>
                <w:szCs w:val="22"/>
              </w:rPr>
              <w:t>2.1a Demonstrate qualities of empathy (E)</w:t>
            </w:r>
          </w:p>
          <w:p w14:paraId="00731005" w14:textId="77777777" w:rsidR="00FE38DD" w:rsidRPr="0083177B" w:rsidRDefault="00FE38DD" w:rsidP="00A659E1">
            <w:pPr>
              <w:ind w:left="337"/>
              <w:rPr>
                <w:sz w:val="22"/>
                <w:szCs w:val="22"/>
              </w:rPr>
            </w:pPr>
            <w:r w:rsidRPr="0083177B">
              <w:rPr>
                <w:sz w:val="22"/>
                <w:szCs w:val="22"/>
              </w:rPr>
              <w:t>2.1b Demonstrate compassionate care (E)</w:t>
            </w:r>
          </w:p>
          <w:p w14:paraId="593A47B6" w14:textId="77777777" w:rsidR="00FE38DD" w:rsidRPr="0083177B" w:rsidRDefault="00FE38DD" w:rsidP="00A659E1">
            <w:pPr>
              <w:ind w:left="337"/>
              <w:rPr>
                <w:sz w:val="22"/>
                <w:szCs w:val="22"/>
              </w:rPr>
            </w:pPr>
            <w:r w:rsidRPr="0083177B">
              <w:rPr>
                <w:sz w:val="22"/>
                <w:szCs w:val="22"/>
              </w:rPr>
              <w:t>2.1c Establish mutual respect with the individual family (E)</w:t>
            </w:r>
          </w:p>
          <w:p w14:paraId="2BDDFE4A" w14:textId="77777777" w:rsidR="00FE38DD" w:rsidRPr="0083177B" w:rsidRDefault="00FE38DD" w:rsidP="00A659E1">
            <w:pPr>
              <w:ind w:left="337"/>
              <w:rPr>
                <w:sz w:val="22"/>
                <w:szCs w:val="22"/>
              </w:rPr>
            </w:pPr>
            <w:r w:rsidRPr="0083177B">
              <w:rPr>
                <w:sz w:val="22"/>
                <w:szCs w:val="22"/>
              </w:rPr>
              <w:t>2.1d Promote caring relationships to effect positive outcomes (A)</w:t>
            </w:r>
          </w:p>
          <w:p w14:paraId="7E7134C5" w14:textId="77777777" w:rsidR="00FE38DD" w:rsidRPr="0083177B" w:rsidRDefault="00FE38DD" w:rsidP="00A659E1">
            <w:pPr>
              <w:ind w:left="337"/>
              <w:rPr>
                <w:sz w:val="22"/>
                <w:szCs w:val="22"/>
              </w:rPr>
            </w:pPr>
            <w:r w:rsidRPr="0083177B">
              <w:rPr>
                <w:sz w:val="22"/>
                <w:szCs w:val="22"/>
              </w:rPr>
              <w:t>2.1e Foster caring relationships (A)</w:t>
            </w:r>
          </w:p>
          <w:p w14:paraId="58026C3D" w14:textId="77777777" w:rsidR="00FE38DD" w:rsidRPr="0083177B" w:rsidRDefault="00FE38DD" w:rsidP="00A659E1">
            <w:pPr>
              <w:rPr>
                <w:b/>
                <w:bCs/>
                <w:sz w:val="22"/>
                <w:szCs w:val="22"/>
              </w:rPr>
            </w:pPr>
          </w:p>
        </w:tc>
      </w:tr>
      <w:tr w:rsidR="00FE38DD" w:rsidRPr="00221A1B" w14:paraId="0D9DD1FD" w14:textId="77777777" w:rsidTr="00A659E1">
        <w:tc>
          <w:tcPr>
            <w:tcW w:w="2875" w:type="dxa"/>
            <w:tcBorders>
              <w:bottom w:val="single" w:sz="4" w:space="0" w:color="auto"/>
            </w:tcBorders>
          </w:tcPr>
          <w:p w14:paraId="31DEAFF1" w14:textId="77777777" w:rsidR="00FE38DD" w:rsidRPr="0083177B" w:rsidRDefault="00FE38DD" w:rsidP="00A659E1">
            <w:pPr>
              <w:pStyle w:val="ListParagraph"/>
              <w:ind w:left="360"/>
              <w:rPr>
                <w:rFonts w:ascii="Times New Roman" w:hAnsi="Times New Roman" w:cs="Times New Roman"/>
                <w:sz w:val="22"/>
                <w:szCs w:val="22"/>
              </w:rPr>
            </w:pPr>
            <w:r w:rsidRPr="0083177B">
              <w:rPr>
                <w:rFonts w:ascii="Times New Roman" w:hAnsi="Times New Roman" w:cs="Times New Roman"/>
                <w:b/>
                <w:bCs/>
                <w:sz w:val="22"/>
                <w:szCs w:val="22"/>
              </w:rPr>
              <w:t>Recommended Content</w:t>
            </w:r>
          </w:p>
        </w:tc>
        <w:tc>
          <w:tcPr>
            <w:tcW w:w="3780" w:type="dxa"/>
            <w:tcBorders>
              <w:bottom w:val="single" w:sz="4" w:space="0" w:color="auto"/>
            </w:tcBorders>
          </w:tcPr>
          <w:p w14:paraId="47108B4A" w14:textId="77777777" w:rsidR="00FE38DD" w:rsidRPr="0083177B" w:rsidRDefault="00FE38DD" w:rsidP="00A659E1">
            <w:pPr>
              <w:rPr>
                <w:b/>
                <w:bCs/>
                <w:color w:val="FF0000"/>
                <w:sz w:val="22"/>
                <w:szCs w:val="22"/>
              </w:rPr>
            </w:pPr>
            <w:r w:rsidRPr="0083177B">
              <w:rPr>
                <w:b/>
                <w:bCs/>
                <w:sz w:val="22"/>
                <w:szCs w:val="22"/>
              </w:rPr>
              <w:t>Learning Strategies</w:t>
            </w:r>
          </w:p>
        </w:tc>
        <w:tc>
          <w:tcPr>
            <w:tcW w:w="2700" w:type="dxa"/>
            <w:tcBorders>
              <w:bottom w:val="single" w:sz="4" w:space="0" w:color="auto"/>
            </w:tcBorders>
          </w:tcPr>
          <w:p w14:paraId="60BC6E72" w14:textId="77777777" w:rsidR="00FE38DD" w:rsidRPr="0083177B" w:rsidRDefault="00FE38DD" w:rsidP="00A659E1">
            <w:pPr>
              <w:pStyle w:val="ListParagraph"/>
              <w:ind w:left="360"/>
              <w:rPr>
                <w:rFonts w:ascii="Times New Roman" w:hAnsi="Times New Roman" w:cs="Times New Roman"/>
                <w:sz w:val="22"/>
                <w:szCs w:val="22"/>
              </w:rPr>
            </w:pPr>
            <w:r w:rsidRPr="0083177B">
              <w:rPr>
                <w:rFonts w:ascii="Times New Roman" w:hAnsi="Times New Roman" w:cs="Times New Roman"/>
                <w:b/>
                <w:bCs/>
                <w:sz w:val="22"/>
                <w:szCs w:val="22"/>
              </w:rPr>
              <w:t>Assessment</w:t>
            </w:r>
          </w:p>
        </w:tc>
        <w:tc>
          <w:tcPr>
            <w:tcW w:w="5040" w:type="dxa"/>
            <w:tcBorders>
              <w:bottom w:val="single" w:sz="4" w:space="0" w:color="auto"/>
            </w:tcBorders>
          </w:tcPr>
          <w:p w14:paraId="37E60014" w14:textId="77777777" w:rsidR="00FE38DD" w:rsidRPr="0083177B" w:rsidRDefault="00FE38DD" w:rsidP="00A659E1">
            <w:pPr>
              <w:rPr>
                <w:sz w:val="22"/>
                <w:szCs w:val="22"/>
              </w:rPr>
            </w:pPr>
            <w:r w:rsidRPr="00221A1B">
              <w:rPr>
                <w:b/>
                <w:bCs/>
                <w:sz w:val="22"/>
                <w:szCs w:val="22"/>
              </w:rPr>
              <w:t>Resources</w:t>
            </w:r>
            <w:r>
              <w:rPr>
                <w:b/>
                <w:bCs/>
                <w:sz w:val="22"/>
                <w:szCs w:val="22"/>
              </w:rPr>
              <w:t xml:space="preserve"> and References</w:t>
            </w:r>
          </w:p>
        </w:tc>
      </w:tr>
      <w:tr w:rsidR="00FE38DD" w:rsidRPr="00221A1B" w14:paraId="66EB66C3" w14:textId="77777777" w:rsidTr="00A659E1">
        <w:tc>
          <w:tcPr>
            <w:tcW w:w="2875" w:type="dxa"/>
            <w:tcBorders>
              <w:bottom w:val="single" w:sz="4" w:space="0" w:color="auto"/>
            </w:tcBorders>
          </w:tcPr>
          <w:p w14:paraId="7A8D9EC3" w14:textId="77777777" w:rsidR="00FE38DD" w:rsidRPr="0083177B" w:rsidRDefault="00FE38DD" w:rsidP="00A659E1">
            <w:pPr>
              <w:pStyle w:val="ListParagraph"/>
              <w:numPr>
                <w:ilvl w:val="0"/>
                <w:numId w:val="3"/>
              </w:numPr>
              <w:rPr>
                <w:rFonts w:ascii="Times New Roman" w:hAnsi="Times New Roman" w:cs="Times New Roman"/>
                <w:sz w:val="22"/>
                <w:szCs w:val="22"/>
              </w:rPr>
            </w:pPr>
            <w:r w:rsidRPr="0083177B">
              <w:rPr>
                <w:rFonts w:ascii="Times New Roman" w:hAnsi="Times New Roman" w:cs="Times New Roman"/>
                <w:sz w:val="22"/>
                <w:szCs w:val="22"/>
              </w:rPr>
              <w:t>Bearing Witness</w:t>
            </w:r>
            <w:r w:rsidRPr="0083177B">
              <w:rPr>
                <w:rFonts w:ascii="Times New Roman" w:hAnsi="Times New Roman" w:cs="Times New Roman"/>
                <w:sz w:val="22"/>
                <w:szCs w:val="22"/>
                <w:vertAlign w:val="superscript"/>
              </w:rPr>
              <w:t xml:space="preserve"> a</w:t>
            </w:r>
          </w:p>
          <w:p w14:paraId="2610A676" w14:textId="77777777" w:rsidR="00FE38DD" w:rsidRPr="0083177B" w:rsidRDefault="00FE38DD" w:rsidP="00A659E1">
            <w:pPr>
              <w:pStyle w:val="ListParagraph"/>
              <w:numPr>
                <w:ilvl w:val="0"/>
                <w:numId w:val="3"/>
              </w:numPr>
              <w:rPr>
                <w:rFonts w:ascii="Times New Roman" w:hAnsi="Times New Roman" w:cs="Times New Roman"/>
                <w:sz w:val="22"/>
                <w:szCs w:val="22"/>
              </w:rPr>
            </w:pPr>
            <w:r w:rsidRPr="0083177B">
              <w:rPr>
                <w:rFonts w:ascii="Times New Roman" w:hAnsi="Times New Roman" w:cs="Times New Roman"/>
                <w:sz w:val="22"/>
                <w:szCs w:val="22"/>
              </w:rPr>
              <w:t>Person-Centered Messages</w:t>
            </w:r>
            <w:r w:rsidRPr="0083177B">
              <w:rPr>
                <w:rFonts w:ascii="Times New Roman" w:hAnsi="Times New Roman" w:cs="Times New Roman"/>
                <w:sz w:val="22"/>
                <w:szCs w:val="22"/>
                <w:vertAlign w:val="superscript"/>
              </w:rPr>
              <w:t xml:space="preserve"> s</w:t>
            </w:r>
          </w:p>
          <w:p w14:paraId="67CECE03" w14:textId="77777777" w:rsidR="00FE38DD" w:rsidRPr="0083177B" w:rsidRDefault="00FE38DD" w:rsidP="00A659E1">
            <w:pPr>
              <w:pStyle w:val="ListParagraph"/>
              <w:numPr>
                <w:ilvl w:val="0"/>
                <w:numId w:val="3"/>
              </w:numPr>
              <w:rPr>
                <w:rFonts w:ascii="Times New Roman" w:hAnsi="Times New Roman" w:cs="Times New Roman"/>
                <w:sz w:val="22"/>
                <w:szCs w:val="22"/>
              </w:rPr>
            </w:pPr>
            <w:r w:rsidRPr="0083177B">
              <w:rPr>
                <w:rFonts w:ascii="Times New Roman" w:hAnsi="Times New Roman" w:cs="Times New Roman"/>
                <w:sz w:val="22"/>
                <w:szCs w:val="22"/>
              </w:rPr>
              <w:t>Nonverbal immediacy</w:t>
            </w:r>
            <w:r w:rsidRPr="0083177B">
              <w:rPr>
                <w:rFonts w:ascii="Times New Roman" w:hAnsi="Times New Roman" w:cs="Times New Roman"/>
                <w:sz w:val="22"/>
                <w:szCs w:val="22"/>
                <w:vertAlign w:val="superscript"/>
              </w:rPr>
              <w:t xml:space="preserve"> k</w:t>
            </w:r>
          </w:p>
        </w:tc>
        <w:tc>
          <w:tcPr>
            <w:tcW w:w="3780" w:type="dxa"/>
            <w:tcBorders>
              <w:bottom w:val="single" w:sz="4" w:space="0" w:color="auto"/>
            </w:tcBorders>
          </w:tcPr>
          <w:p w14:paraId="03C23E6E" w14:textId="77777777" w:rsidR="00FE38DD" w:rsidRPr="008B5B4B" w:rsidRDefault="00FE38DD" w:rsidP="00A659E1">
            <w:pPr>
              <w:rPr>
                <w:b/>
                <w:bCs/>
                <w:color w:val="FF0000"/>
                <w:sz w:val="22"/>
                <w:szCs w:val="22"/>
              </w:rPr>
            </w:pPr>
            <w:r w:rsidRPr="008B5B4B">
              <w:rPr>
                <w:b/>
                <w:bCs/>
                <w:color w:val="FF0000"/>
                <w:sz w:val="22"/>
                <w:szCs w:val="22"/>
              </w:rPr>
              <w:t>Entry Level:</w:t>
            </w:r>
          </w:p>
          <w:p w14:paraId="4DE1C6AB" w14:textId="77777777" w:rsidR="00FE38DD" w:rsidRPr="008B5B4B" w:rsidRDefault="00FE38DD" w:rsidP="00A659E1">
            <w:pPr>
              <w:rPr>
                <w:color w:val="000000" w:themeColor="text1"/>
                <w:sz w:val="22"/>
                <w:szCs w:val="22"/>
              </w:rPr>
            </w:pPr>
            <w:r w:rsidRPr="008B5B4B">
              <w:rPr>
                <w:color w:val="000000" w:themeColor="text1"/>
                <w:sz w:val="22"/>
                <w:szCs w:val="22"/>
              </w:rPr>
              <w:t xml:space="preserve">-Review a Case study using Exercise 4 in </w:t>
            </w:r>
            <w:r>
              <w:rPr>
                <w:color w:val="000000" w:themeColor="text1"/>
                <w:sz w:val="22"/>
                <w:szCs w:val="22"/>
              </w:rPr>
              <w:t>Wittenberg et al, page 64</w:t>
            </w:r>
          </w:p>
          <w:p w14:paraId="698F7D9D" w14:textId="77777777" w:rsidR="00FE38DD" w:rsidRPr="008B5B4B" w:rsidRDefault="00FE38DD" w:rsidP="00A659E1">
            <w:pPr>
              <w:rPr>
                <w:color w:val="000000" w:themeColor="text1"/>
                <w:sz w:val="22"/>
                <w:szCs w:val="22"/>
              </w:rPr>
            </w:pPr>
          </w:p>
          <w:p w14:paraId="40D2D4AA" w14:textId="77777777" w:rsidR="00FE38DD" w:rsidRPr="008B5B4B" w:rsidRDefault="00FE38DD" w:rsidP="00A659E1">
            <w:pPr>
              <w:rPr>
                <w:color w:val="000000" w:themeColor="text1"/>
                <w:sz w:val="22"/>
                <w:szCs w:val="22"/>
              </w:rPr>
            </w:pPr>
            <w:r w:rsidRPr="008B5B4B">
              <w:rPr>
                <w:color w:val="000000" w:themeColor="text1"/>
                <w:sz w:val="22"/>
                <w:szCs w:val="22"/>
              </w:rPr>
              <w:t>-Experiment writing person-centered messages</w:t>
            </w:r>
          </w:p>
          <w:p w14:paraId="7335556C" w14:textId="77777777" w:rsidR="00FE38DD" w:rsidRPr="008B5B4B" w:rsidRDefault="00FE38DD" w:rsidP="00A659E1">
            <w:pPr>
              <w:rPr>
                <w:color w:val="000000" w:themeColor="text1"/>
                <w:sz w:val="22"/>
                <w:szCs w:val="22"/>
              </w:rPr>
            </w:pPr>
          </w:p>
          <w:p w14:paraId="601AFE01" w14:textId="77777777" w:rsidR="00FE38DD" w:rsidRPr="008B5B4B" w:rsidRDefault="00FE38DD" w:rsidP="00A659E1">
            <w:pPr>
              <w:rPr>
                <w:color w:val="000000" w:themeColor="text1"/>
                <w:sz w:val="22"/>
                <w:szCs w:val="22"/>
              </w:rPr>
            </w:pPr>
            <w:r w:rsidRPr="008B5B4B">
              <w:rPr>
                <w:color w:val="000000" w:themeColor="text1"/>
                <w:sz w:val="22"/>
                <w:szCs w:val="22"/>
              </w:rPr>
              <w:t>-Partner students to engage listening exercise in which one partner is not allowed to say anything, but only listen, the other shares an experience they have had as a patient. Nonverbal reflection follows.</w:t>
            </w:r>
          </w:p>
          <w:p w14:paraId="068F4A41" w14:textId="77777777" w:rsidR="00FE38DD" w:rsidRPr="008B5B4B" w:rsidRDefault="00FE38DD" w:rsidP="00A659E1">
            <w:pPr>
              <w:rPr>
                <w:color w:val="000000" w:themeColor="text1"/>
                <w:sz w:val="22"/>
                <w:szCs w:val="22"/>
              </w:rPr>
            </w:pPr>
          </w:p>
          <w:p w14:paraId="42204394" w14:textId="77777777" w:rsidR="00FE38DD" w:rsidRPr="008B5B4B" w:rsidRDefault="00FE38DD" w:rsidP="00A659E1">
            <w:pPr>
              <w:rPr>
                <w:color w:val="000000" w:themeColor="text1"/>
                <w:sz w:val="22"/>
                <w:szCs w:val="22"/>
              </w:rPr>
            </w:pPr>
            <w:r w:rsidRPr="008B5B4B">
              <w:rPr>
                <w:color w:val="000000" w:themeColor="text1"/>
                <w:sz w:val="22"/>
                <w:szCs w:val="22"/>
              </w:rPr>
              <w:t xml:space="preserve">-Provide a case interaction with lowest level of person-centered communication. Have students rewrite with highest level of person-centered communication. </w:t>
            </w:r>
          </w:p>
          <w:p w14:paraId="6ACD65CC" w14:textId="77777777" w:rsidR="00FE38DD" w:rsidRPr="008B5B4B" w:rsidRDefault="00FE38DD" w:rsidP="00A659E1">
            <w:pPr>
              <w:rPr>
                <w:color w:val="FF0000"/>
                <w:sz w:val="22"/>
                <w:szCs w:val="22"/>
              </w:rPr>
            </w:pPr>
          </w:p>
          <w:p w14:paraId="64C72590" w14:textId="77777777" w:rsidR="00FE38DD" w:rsidRPr="008B5B4B" w:rsidRDefault="00FE38DD" w:rsidP="00A659E1">
            <w:pPr>
              <w:rPr>
                <w:b/>
                <w:bCs/>
                <w:color w:val="FF0000"/>
                <w:sz w:val="22"/>
                <w:szCs w:val="22"/>
              </w:rPr>
            </w:pPr>
            <w:r w:rsidRPr="008B5B4B">
              <w:rPr>
                <w:b/>
                <w:bCs/>
                <w:color w:val="FF0000"/>
                <w:sz w:val="22"/>
                <w:szCs w:val="22"/>
              </w:rPr>
              <w:t>Advanced:</w:t>
            </w:r>
          </w:p>
          <w:p w14:paraId="46F8F93A" w14:textId="77777777" w:rsidR="00FE38DD" w:rsidRPr="008B5B4B" w:rsidRDefault="00FE38DD" w:rsidP="00A659E1">
            <w:pPr>
              <w:rPr>
                <w:color w:val="FF0000"/>
                <w:sz w:val="22"/>
                <w:szCs w:val="22"/>
              </w:rPr>
            </w:pPr>
          </w:p>
          <w:p w14:paraId="587DFFD5" w14:textId="44335299" w:rsidR="00FE38DD" w:rsidRPr="008B5B4B" w:rsidRDefault="00FE38DD" w:rsidP="00A659E1">
            <w:pPr>
              <w:rPr>
                <w:color w:val="000000" w:themeColor="text1"/>
                <w:sz w:val="22"/>
                <w:szCs w:val="22"/>
              </w:rPr>
            </w:pPr>
            <w:r w:rsidRPr="008B5B4B">
              <w:rPr>
                <w:color w:val="000000" w:themeColor="text1"/>
                <w:sz w:val="22"/>
                <w:szCs w:val="22"/>
              </w:rPr>
              <w:t>-</w:t>
            </w:r>
            <w:r w:rsidR="00A659E1" w:rsidRPr="00642C21">
              <w:rPr>
                <w:color w:val="000000" w:themeColor="text1"/>
                <w:sz w:val="22"/>
                <w:szCs w:val="22"/>
              </w:rPr>
              <w:t>Reflective</w:t>
            </w:r>
            <w:r w:rsidR="00A659E1">
              <w:rPr>
                <w:color w:val="000000" w:themeColor="text1"/>
                <w:sz w:val="22"/>
                <w:szCs w:val="22"/>
              </w:rPr>
              <w:t xml:space="preserve"> </w:t>
            </w:r>
            <w:r w:rsidRPr="008B5B4B">
              <w:rPr>
                <w:color w:val="000000" w:themeColor="text1"/>
                <w:sz w:val="22"/>
                <w:szCs w:val="22"/>
              </w:rPr>
              <w:t>writing exercise for bearing witness in which students recall feeling present for a patient, gratitude or hope in your vocation</w:t>
            </w:r>
          </w:p>
          <w:p w14:paraId="74CC7F71" w14:textId="77777777" w:rsidR="00FE38DD" w:rsidRPr="008B5B4B" w:rsidRDefault="00FE38DD" w:rsidP="00A659E1">
            <w:pPr>
              <w:rPr>
                <w:color w:val="000000" w:themeColor="text1"/>
                <w:sz w:val="22"/>
                <w:szCs w:val="22"/>
              </w:rPr>
            </w:pPr>
          </w:p>
          <w:p w14:paraId="4436DD7A" w14:textId="77777777" w:rsidR="00A659E1" w:rsidRDefault="00FE38DD" w:rsidP="00A659E1">
            <w:pPr>
              <w:rPr>
                <w:color w:val="000000" w:themeColor="text1"/>
                <w:sz w:val="22"/>
                <w:szCs w:val="22"/>
              </w:rPr>
            </w:pPr>
            <w:r w:rsidRPr="008B5B4B">
              <w:rPr>
                <w:color w:val="000000" w:themeColor="text1"/>
                <w:sz w:val="22"/>
                <w:szCs w:val="22"/>
              </w:rPr>
              <w:t>-Review ideas for sharing difficult information with patient and family (guided by Warnock, 2014)</w:t>
            </w:r>
          </w:p>
          <w:p w14:paraId="0588AE24" w14:textId="77777777" w:rsidR="00A659E1" w:rsidRDefault="00A659E1" w:rsidP="00A659E1">
            <w:pPr>
              <w:rPr>
                <w:color w:val="000000" w:themeColor="text1"/>
                <w:sz w:val="22"/>
                <w:szCs w:val="22"/>
              </w:rPr>
            </w:pPr>
          </w:p>
          <w:p w14:paraId="564FF2F2" w14:textId="3DE9E425" w:rsidR="00FE38DD" w:rsidRPr="008B5B4B" w:rsidRDefault="00A659E1" w:rsidP="00A659E1">
            <w:pPr>
              <w:rPr>
                <w:color w:val="000000" w:themeColor="text1"/>
                <w:sz w:val="22"/>
                <w:szCs w:val="22"/>
              </w:rPr>
            </w:pPr>
            <w:r w:rsidRPr="00642C21">
              <w:rPr>
                <w:color w:val="000000" w:themeColor="text1"/>
                <w:sz w:val="22"/>
                <w:szCs w:val="22"/>
              </w:rPr>
              <w:t xml:space="preserve">- </w:t>
            </w:r>
            <w:r w:rsidRPr="00642C21">
              <w:t>Use technology to enhance communication skills in varied mediums (as an example telehealth chat app)</w:t>
            </w:r>
          </w:p>
        </w:tc>
        <w:tc>
          <w:tcPr>
            <w:tcW w:w="2700" w:type="dxa"/>
            <w:tcBorders>
              <w:bottom w:val="single" w:sz="4" w:space="0" w:color="auto"/>
            </w:tcBorders>
          </w:tcPr>
          <w:p w14:paraId="5428238D" w14:textId="77777777" w:rsidR="00FE38DD" w:rsidRPr="004324E4" w:rsidRDefault="00FE38DD" w:rsidP="00A659E1">
            <w:pPr>
              <w:pStyle w:val="ListParagraph"/>
              <w:numPr>
                <w:ilvl w:val="0"/>
                <w:numId w:val="5"/>
              </w:numPr>
              <w:rPr>
                <w:rStyle w:val="Strong"/>
                <w:rFonts w:ascii="Times New Roman" w:hAnsi="Times New Roman" w:cs="Times New Roman"/>
                <w:b w:val="0"/>
                <w:bCs w:val="0"/>
                <w:iCs/>
                <w:sz w:val="22"/>
                <w:szCs w:val="22"/>
              </w:rPr>
            </w:pPr>
            <w:r w:rsidRPr="004324E4">
              <w:rPr>
                <w:rFonts w:ascii="Times New Roman" w:hAnsi="Times New Roman" w:cs="Times New Roman"/>
                <w:sz w:val="22"/>
                <w:szCs w:val="22"/>
              </w:rPr>
              <w:lastRenderedPageBreak/>
              <w:t xml:space="preserve">Compassionate </w:t>
            </w:r>
            <w:r w:rsidRPr="004324E4">
              <w:rPr>
                <w:rStyle w:val="Strong"/>
                <w:rFonts w:ascii="Times New Roman" w:hAnsi="Times New Roman" w:cs="Times New Roman"/>
                <w:b w:val="0"/>
                <w:bCs w:val="0"/>
                <w:sz w:val="22"/>
                <w:szCs w:val="22"/>
              </w:rPr>
              <w:t>Communication</w:t>
            </w:r>
            <w:r w:rsidRPr="004324E4">
              <w:rPr>
                <w:rFonts w:ascii="Times New Roman" w:hAnsi="Times New Roman" w:cs="Times New Roman"/>
                <w:b/>
                <w:bCs/>
                <w:sz w:val="22"/>
                <w:szCs w:val="22"/>
              </w:rPr>
              <w:t xml:space="preserve"> </w:t>
            </w:r>
            <w:r w:rsidRPr="004324E4">
              <w:rPr>
                <w:rStyle w:val="Strong"/>
                <w:rFonts w:ascii="Times New Roman" w:hAnsi="Times New Roman" w:cs="Times New Roman"/>
                <w:b w:val="0"/>
                <w:bCs w:val="0"/>
                <w:sz w:val="22"/>
                <w:szCs w:val="22"/>
              </w:rPr>
              <w:t>Scale</w:t>
            </w:r>
            <w:r>
              <w:rPr>
                <w:rStyle w:val="Strong"/>
                <w:rFonts w:ascii="Times New Roman" w:hAnsi="Times New Roman" w:cs="Times New Roman"/>
                <w:b w:val="0"/>
                <w:bCs w:val="0"/>
                <w:sz w:val="22"/>
                <w:szCs w:val="22"/>
              </w:rPr>
              <w:t xml:space="preserve"> (Salazar, 2013; Tehranineshat, Rakhshan, Torabbizadeh, Fararouei, &amp; Gillespie, 2021)</w:t>
            </w:r>
          </w:p>
          <w:p w14:paraId="22E8B8CF" w14:textId="77777777" w:rsidR="00FE38DD" w:rsidRDefault="00FE38DD" w:rsidP="00A659E1">
            <w:pPr>
              <w:pStyle w:val="ListParagraph"/>
              <w:numPr>
                <w:ilvl w:val="0"/>
                <w:numId w:val="5"/>
              </w:numPr>
              <w:rPr>
                <w:rFonts w:ascii="Times New Roman" w:hAnsi="Times New Roman" w:cs="Times New Roman"/>
                <w:iCs/>
                <w:sz w:val="22"/>
                <w:szCs w:val="22"/>
              </w:rPr>
            </w:pPr>
            <w:r w:rsidRPr="004324E4">
              <w:rPr>
                <w:rFonts w:ascii="Times New Roman" w:hAnsi="Times New Roman" w:cs="Times New Roman"/>
                <w:sz w:val="22"/>
                <w:szCs w:val="22"/>
              </w:rPr>
              <w:t xml:space="preserve">Empathic Skill </w:t>
            </w:r>
            <w:r w:rsidRPr="004324E4">
              <w:rPr>
                <w:rStyle w:val="Strong"/>
                <w:rFonts w:ascii="Times New Roman" w:hAnsi="Times New Roman" w:cs="Times New Roman"/>
                <w:b w:val="0"/>
                <w:bCs w:val="0"/>
                <w:sz w:val="22"/>
                <w:szCs w:val="22"/>
              </w:rPr>
              <w:t>Scale</w:t>
            </w:r>
            <w:r w:rsidRPr="008B5B4B">
              <w:rPr>
                <w:rFonts w:ascii="Times New Roman" w:hAnsi="Times New Roman" w:cs="Times New Roman"/>
                <w:iCs/>
                <w:sz w:val="22"/>
                <w:szCs w:val="22"/>
              </w:rPr>
              <w:t xml:space="preserve"> </w:t>
            </w:r>
            <w:r>
              <w:rPr>
                <w:rFonts w:ascii="Times New Roman" w:hAnsi="Times New Roman" w:cs="Times New Roman"/>
                <w:iCs/>
                <w:sz w:val="22"/>
                <w:szCs w:val="22"/>
              </w:rPr>
              <w:t>(Dokmen, 1988)</w:t>
            </w:r>
          </w:p>
          <w:p w14:paraId="550695D8" w14:textId="77777777" w:rsidR="00FE38DD" w:rsidRPr="008B5B4B" w:rsidRDefault="00FE38DD" w:rsidP="00A659E1">
            <w:pPr>
              <w:pStyle w:val="ListParagraph"/>
              <w:numPr>
                <w:ilvl w:val="0"/>
                <w:numId w:val="5"/>
              </w:numPr>
              <w:rPr>
                <w:rFonts w:ascii="Times New Roman" w:hAnsi="Times New Roman" w:cs="Times New Roman"/>
                <w:iCs/>
                <w:sz w:val="22"/>
                <w:szCs w:val="22"/>
              </w:rPr>
            </w:pPr>
            <w:r w:rsidRPr="008B5B4B">
              <w:rPr>
                <w:rFonts w:ascii="Times New Roman" w:hAnsi="Times New Roman" w:cs="Times New Roman"/>
                <w:iCs/>
                <w:sz w:val="22"/>
                <w:szCs w:val="22"/>
              </w:rPr>
              <w:t>Nonverbal Immediacy Scale- Short Form</w:t>
            </w:r>
            <w:r>
              <w:rPr>
                <w:rFonts w:ascii="Times New Roman" w:hAnsi="Times New Roman" w:cs="Times New Roman"/>
                <w:iCs/>
                <w:sz w:val="22"/>
                <w:szCs w:val="22"/>
              </w:rPr>
              <w:t xml:space="preserve"> (Richmond &amp; McCroskey, 1998)</w:t>
            </w:r>
          </w:p>
        </w:tc>
        <w:tc>
          <w:tcPr>
            <w:tcW w:w="5040" w:type="dxa"/>
            <w:tcBorders>
              <w:bottom w:val="single" w:sz="4" w:space="0" w:color="auto"/>
            </w:tcBorders>
          </w:tcPr>
          <w:p w14:paraId="78AF6598" w14:textId="77777777" w:rsidR="00FE38DD" w:rsidRPr="00536935" w:rsidRDefault="00FE38DD" w:rsidP="00A659E1">
            <w:pPr>
              <w:rPr>
                <w:sz w:val="22"/>
                <w:szCs w:val="22"/>
              </w:rPr>
            </w:pPr>
            <w:r w:rsidRPr="00536935">
              <w:rPr>
                <w:sz w:val="22"/>
                <w:szCs w:val="22"/>
              </w:rPr>
              <w:t xml:space="preserve">Wittenberg, E., Goldsmith, J.V., Ragan, S. L.., &amp; Parnell, T. A. (2020). </w:t>
            </w:r>
            <w:r w:rsidRPr="00536935">
              <w:rPr>
                <w:i/>
                <w:iCs/>
                <w:sz w:val="22"/>
                <w:szCs w:val="22"/>
              </w:rPr>
              <w:t xml:space="preserve">Communication in Palliative Nursing. </w:t>
            </w:r>
            <w:r w:rsidRPr="00536935">
              <w:rPr>
                <w:sz w:val="22"/>
                <w:szCs w:val="22"/>
              </w:rPr>
              <w:t>New York: Oxford University Press.</w:t>
            </w:r>
          </w:p>
          <w:p w14:paraId="7BD96829" w14:textId="77777777" w:rsidR="00FE38DD" w:rsidRPr="00536935" w:rsidRDefault="00FE38DD" w:rsidP="00A659E1">
            <w:pPr>
              <w:rPr>
                <w:sz w:val="22"/>
                <w:szCs w:val="22"/>
              </w:rPr>
            </w:pPr>
          </w:p>
          <w:p w14:paraId="5E7DD51E" w14:textId="77777777" w:rsidR="00FE38DD" w:rsidRPr="00536935" w:rsidRDefault="00FE38DD" w:rsidP="00A659E1">
            <w:pPr>
              <w:autoSpaceDE w:val="0"/>
              <w:autoSpaceDN w:val="0"/>
              <w:adjustRightInd w:val="0"/>
              <w:ind w:right="-156"/>
              <w:rPr>
                <w:rFonts w:eastAsiaTheme="minorHAnsi"/>
                <w:sz w:val="22"/>
                <w:szCs w:val="22"/>
              </w:rPr>
            </w:pPr>
            <w:r w:rsidRPr="00536935">
              <w:rPr>
                <w:rFonts w:eastAsiaTheme="minorHAnsi"/>
                <w:sz w:val="22"/>
                <w:szCs w:val="22"/>
              </w:rPr>
              <w:t xml:space="preserve">Wickline, M. M., Berry, D. L., &amp; Belza, B. (2021, Aug 1). Bearing Witness in Oncology Nursing: Sharing in Suffering Across the Cancer Care Trajectory. </w:t>
            </w:r>
            <w:r w:rsidRPr="00536935">
              <w:rPr>
                <w:rFonts w:eastAsiaTheme="minorHAnsi"/>
                <w:i/>
                <w:iCs/>
                <w:sz w:val="22"/>
                <w:szCs w:val="22"/>
              </w:rPr>
              <w:t>Clin J Oncol Nurs, 25</w:t>
            </w:r>
            <w:r w:rsidRPr="00536935">
              <w:rPr>
                <w:rFonts w:eastAsiaTheme="minorHAnsi"/>
                <w:sz w:val="22"/>
                <w:szCs w:val="22"/>
              </w:rPr>
              <w:t xml:space="preserve">(4), 470-473. https://doi.org/10.1188/21.CJON.470-473 </w:t>
            </w:r>
          </w:p>
          <w:p w14:paraId="1C65D337" w14:textId="77777777" w:rsidR="00FE38DD" w:rsidRPr="00536935" w:rsidRDefault="00FE38DD" w:rsidP="00A659E1">
            <w:pPr>
              <w:autoSpaceDE w:val="0"/>
              <w:autoSpaceDN w:val="0"/>
              <w:adjustRightInd w:val="0"/>
              <w:ind w:left="720" w:right="-720" w:hanging="720"/>
              <w:rPr>
                <w:rFonts w:eastAsiaTheme="minorHAnsi"/>
                <w:sz w:val="22"/>
                <w:szCs w:val="22"/>
              </w:rPr>
            </w:pPr>
          </w:p>
          <w:p w14:paraId="0964AD5D" w14:textId="77777777" w:rsidR="00FE38DD" w:rsidRPr="00E232B8" w:rsidRDefault="00FE38DD" w:rsidP="00A659E1">
            <w:pPr>
              <w:autoSpaceDE w:val="0"/>
              <w:autoSpaceDN w:val="0"/>
              <w:adjustRightInd w:val="0"/>
              <w:ind w:right="-66"/>
              <w:rPr>
                <w:rFonts w:eastAsiaTheme="minorHAnsi"/>
                <w:sz w:val="22"/>
                <w:szCs w:val="22"/>
              </w:rPr>
            </w:pPr>
            <w:r w:rsidRPr="00E232B8">
              <w:rPr>
                <w:rFonts w:eastAsiaTheme="minorHAnsi"/>
                <w:sz w:val="22"/>
                <w:szCs w:val="22"/>
              </w:rPr>
              <w:t xml:space="preserve">Djkowich, M., Ceci, C., &amp; Petrovskaya, O. (2019, Jan). Bearing witness in nursing practice: More than a moral obligation? </w:t>
            </w:r>
            <w:r w:rsidRPr="00E232B8">
              <w:rPr>
                <w:rFonts w:eastAsiaTheme="minorHAnsi"/>
                <w:i/>
                <w:iCs/>
                <w:sz w:val="22"/>
                <w:szCs w:val="22"/>
              </w:rPr>
              <w:t>Nurs Philos, 20</w:t>
            </w:r>
            <w:r w:rsidRPr="00E232B8">
              <w:rPr>
                <w:rFonts w:eastAsiaTheme="minorHAnsi"/>
                <w:sz w:val="22"/>
                <w:szCs w:val="22"/>
              </w:rPr>
              <w:t xml:space="preserve">(1), e12232. https://doi.org/10.1111/nup.12232 </w:t>
            </w:r>
          </w:p>
          <w:p w14:paraId="765B8E17" w14:textId="77777777" w:rsidR="00FE38DD" w:rsidRPr="00E232B8" w:rsidRDefault="00FE38DD" w:rsidP="00A659E1">
            <w:pPr>
              <w:autoSpaceDE w:val="0"/>
              <w:autoSpaceDN w:val="0"/>
              <w:adjustRightInd w:val="0"/>
              <w:ind w:right="-66"/>
              <w:rPr>
                <w:rFonts w:eastAsiaTheme="minorHAnsi"/>
                <w:sz w:val="22"/>
                <w:szCs w:val="22"/>
              </w:rPr>
            </w:pPr>
          </w:p>
          <w:p w14:paraId="3167093C" w14:textId="3B76EE7C" w:rsidR="00FE38DD" w:rsidRDefault="00FE38DD" w:rsidP="00A659E1">
            <w:pPr>
              <w:autoSpaceDE w:val="0"/>
              <w:autoSpaceDN w:val="0"/>
              <w:adjustRightInd w:val="0"/>
              <w:ind w:right="-66"/>
              <w:rPr>
                <w:rFonts w:eastAsiaTheme="minorHAnsi"/>
                <w:sz w:val="22"/>
                <w:szCs w:val="22"/>
              </w:rPr>
            </w:pPr>
            <w:r w:rsidRPr="005A2467">
              <w:rPr>
                <w:rFonts w:eastAsiaTheme="minorHAnsi"/>
                <w:sz w:val="22"/>
                <w:szCs w:val="22"/>
              </w:rPr>
              <w:t xml:space="preserve">Johnsson, A., Wagman, P., Boman, A., &amp; Pennbrant, S. (2018, Apr). What are they talking about? Content of the communication exchanges between nurses, patients and relatives in a department of medicine for older people-An ethnographic study. </w:t>
            </w:r>
            <w:r w:rsidRPr="005A2467">
              <w:rPr>
                <w:rFonts w:eastAsiaTheme="minorHAnsi"/>
                <w:i/>
                <w:iCs/>
                <w:sz w:val="22"/>
                <w:szCs w:val="22"/>
              </w:rPr>
              <w:t>J Clin Nurs, 27</w:t>
            </w:r>
            <w:r w:rsidRPr="005A2467">
              <w:rPr>
                <w:rFonts w:eastAsiaTheme="minorHAnsi"/>
                <w:sz w:val="22"/>
                <w:szCs w:val="22"/>
              </w:rPr>
              <w:t xml:space="preserve">(7-8), e1651-e1659. https://doi.org/10.1111/jocn.14315 </w:t>
            </w:r>
          </w:p>
          <w:p w14:paraId="5CA7F119" w14:textId="31D9350F" w:rsidR="00A659E1" w:rsidRDefault="00A659E1" w:rsidP="00A659E1">
            <w:pPr>
              <w:autoSpaceDE w:val="0"/>
              <w:autoSpaceDN w:val="0"/>
              <w:adjustRightInd w:val="0"/>
              <w:ind w:right="-66"/>
              <w:rPr>
                <w:rFonts w:eastAsiaTheme="minorHAnsi"/>
                <w:sz w:val="22"/>
                <w:szCs w:val="22"/>
              </w:rPr>
            </w:pPr>
          </w:p>
          <w:p w14:paraId="74D54648" w14:textId="2CAA1E35" w:rsidR="00A659E1" w:rsidRPr="00642C21" w:rsidRDefault="00A659E1" w:rsidP="00A659E1">
            <w:pPr>
              <w:autoSpaceDE w:val="0"/>
              <w:autoSpaceDN w:val="0"/>
              <w:adjustRightInd w:val="0"/>
              <w:ind w:right="-66"/>
              <w:rPr>
                <w:rFonts w:eastAsiaTheme="minorHAnsi"/>
                <w:sz w:val="22"/>
                <w:szCs w:val="22"/>
              </w:rPr>
            </w:pPr>
            <w:r w:rsidRPr="00642C21">
              <w:rPr>
                <w:rFonts w:eastAsiaTheme="minorHAnsi"/>
                <w:sz w:val="22"/>
                <w:szCs w:val="22"/>
              </w:rPr>
              <w:t xml:space="preserve">Myers, C. R. (2019). Using telehealth to remediate rural mental health and healthcare disparities. Issues in Mental Health Nursing, 40(3), 233–239. </w:t>
            </w:r>
            <w:hyperlink r:id="rId5" w:history="1">
              <w:r w:rsidR="009773A7" w:rsidRPr="00642C21">
                <w:rPr>
                  <w:rStyle w:val="Hyperlink"/>
                  <w:rFonts w:eastAsiaTheme="minorHAnsi"/>
                  <w:sz w:val="22"/>
                  <w:szCs w:val="22"/>
                </w:rPr>
                <w:t>https://doi.org/10.1080/01612840.2018.1499157</w:t>
              </w:r>
            </w:hyperlink>
          </w:p>
          <w:p w14:paraId="6FF44B90" w14:textId="2B58FA34" w:rsidR="009773A7" w:rsidRPr="00642C21" w:rsidRDefault="009773A7" w:rsidP="00A659E1">
            <w:pPr>
              <w:autoSpaceDE w:val="0"/>
              <w:autoSpaceDN w:val="0"/>
              <w:adjustRightInd w:val="0"/>
              <w:ind w:right="-66"/>
              <w:rPr>
                <w:rFonts w:eastAsiaTheme="minorHAnsi"/>
                <w:sz w:val="22"/>
                <w:szCs w:val="22"/>
              </w:rPr>
            </w:pPr>
          </w:p>
          <w:p w14:paraId="0F8359F6" w14:textId="77777777" w:rsidR="009773A7" w:rsidRPr="00642C21" w:rsidRDefault="009773A7" w:rsidP="00A659E1">
            <w:pPr>
              <w:autoSpaceDE w:val="0"/>
              <w:autoSpaceDN w:val="0"/>
              <w:adjustRightInd w:val="0"/>
              <w:ind w:right="-66"/>
              <w:rPr>
                <w:rFonts w:eastAsiaTheme="minorHAnsi"/>
                <w:sz w:val="22"/>
                <w:szCs w:val="22"/>
              </w:rPr>
            </w:pPr>
          </w:p>
          <w:p w14:paraId="58DA0675" w14:textId="659AFEAE" w:rsidR="00FE38DD" w:rsidRDefault="009773A7" w:rsidP="00A659E1">
            <w:pPr>
              <w:autoSpaceDE w:val="0"/>
              <w:autoSpaceDN w:val="0"/>
              <w:adjustRightInd w:val="0"/>
              <w:ind w:right="-66"/>
              <w:rPr>
                <w:color w:val="232323"/>
                <w:shd w:val="clear" w:color="auto" w:fill="FFFFFF"/>
              </w:rPr>
            </w:pPr>
            <w:r w:rsidRPr="00642C21">
              <w:rPr>
                <w:color w:val="232323"/>
                <w:shd w:val="clear" w:color="auto" w:fill="FFFFFF"/>
              </w:rPr>
              <w:t>Gustin, T. , Kott, K. &amp; Rutledge, C. (2020). Telehealth Etiquette Training. </w:t>
            </w:r>
            <w:r w:rsidRPr="00642C21">
              <w:rPr>
                <w:rStyle w:val="italicized-text"/>
                <w:i/>
                <w:iCs/>
                <w:color w:val="232323"/>
                <w:shd w:val="clear" w:color="auto" w:fill="FFFFFF"/>
              </w:rPr>
              <w:t>Nurse Educator, 45 </w:t>
            </w:r>
            <w:r w:rsidRPr="00642C21">
              <w:rPr>
                <w:color w:val="232323"/>
                <w:shd w:val="clear" w:color="auto" w:fill="FFFFFF"/>
              </w:rPr>
              <w:t>(2), 88-92. doi: 10.1097/NNE.0000000000000680.</w:t>
            </w:r>
          </w:p>
          <w:p w14:paraId="06295765" w14:textId="77777777" w:rsidR="009773A7" w:rsidRPr="005A2467" w:rsidRDefault="009773A7" w:rsidP="00A659E1">
            <w:pPr>
              <w:autoSpaceDE w:val="0"/>
              <w:autoSpaceDN w:val="0"/>
              <w:adjustRightInd w:val="0"/>
              <w:ind w:right="-66"/>
              <w:rPr>
                <w:rFonts w:eastAsiaTheme="minorHAnsi"/>
                <w:sz w:val="22"/>
                <w:szCs w:val="22"/>
              </w:rPr>
            </w:pPr>
          </w:p>
          <w:p w14:paraId="3F36912B" w14:textId="77777777" w:rsidR="00FE38DD" w:rsidRPr="00C13FDA" w:rsidRDefault="00FE38DD" w:rsidP="00A659E1">
            <w:pPr>
              <w:autoSpaceDE w:val="0"/>
              <w:autoSpaceDN w:val="0"/>
              <w:adjustRightInd w:val="0"/>
              <w:rPr>
                <w:sz w:val="22"/>
                <w:szCs w:val="22"/>
              </w:rPr>
            </w:pPr>
            <w:r w:rsidRPr="00C13FDA">
              <w:rPr>
                <w:sz w:val="22"/>
                <w:szCs w:val="22"/>
              </w:rPr>
              <w:t xml:space="preserve">Warnock, C. (2014, Jul 15). Breaking bad news: issues relating to nursing practice. </w:t>
            </w:r>
            <w:r w:rsidRPr="00C13FDA">
              <w:rPr>
                <w:i/>
                <w:iCs/>
                <w:sz w:val="22"/>
                <w:szCs w:val="22"/>
              </w:rPr>
              <w:t>Nurs Stand, 28</w:t>
            </w:r>
            <w:r w:rsidRPr="00C13FDA">
              <w:rPr>
                <w:sz w:val="22"/>
                <w:szCs w:val="22"/>
              </w:rPr>
              <w:t xml:space="preserve">(45), 51-58. https://doi.org/10.7748/ns.28.45.51.e8935 </w:t>
            </w:r>
          </w:p>
          <w:p w14:paraId="2B6BF038" w14:textId="77777777" w:rsidR="00FE38DD" w:rsidRPr="00536935" w:rsidRDefault="00FE38DD" w:rsidP="00A659E1">
            <w:pPr>
              <w:rPr>
                <w:sz w:val="22"/>
                <w:szCs w:val="22"/>
              </w:rPr>
            </w:pPr>
          </w:p>
        </w:tc>
      </w:tr>
      <w:tr w:rsidR="00FE38DD" w:rsidRPr="00221A1B" w14:paraId="066BA0D9" w14:textId="77777777" w:rsidTr="00A659E1">
        <w:tc>
          <w:tcPr>
            <w:tcW w:w="2875" w:type="dxa"/>
            <w:tcBorders>
              <w:bottom w:val="single" w:sz="4" w:space="0" w:color="auto"/>
            </w:tcBorders>
          </w:tcPr>
          <w:p w14:paraId="6FD23F8C" w14:textId="77777777" w:rsidR="00FE38DD" w:rsidRDefault="00FE38DD" w:rsidP="00A659E1">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lastRenderedPageBreak/>
              <w:t>Transactional Model of Communication</w:t>
            </w:r>
            <w:r>
              <w:rPr>
                <w:rFonts w:ascii="Times New Roman" w:hAnsi="Times New Roman" w:cs="Times New Roman"/>
                <w:sz w:val="22"/>
                <w:szCs w:val="22"/>
                <w:vertAlign w:val="superscript"/>
              </w:rPr>
              <w:t xml:space="preserve"> k</w:t>
            </w:r>
          </w:p>
          <w:p w14:paraId="6FDCCF99" w14:textId="77777777" w:rsidR="00FE38DD" w:rsidRPr="006518FA" w:rsidRDefault="00FE38DD" w:rsidP="00A659E1">
            <w:pPr>
              <w:pStyle w:val="ListParagraph"/>
              <w:numPr>
                <w:ilvl w:val="0"/>
                <w:numId w:val="3"/>
              </w:numPr>
              <w:rPr>
                <w:rFonts w:ascii="Times New Roman" w:hAnsi="Times New Roman" w:cs="Times New Roman"/>
                <w:sz w:val="22"/>
                <w:szCs w:val="22"/>
              </w:rPr>
            </w:pPr>
            <w:r w:rsidRPr="00BF3BDF">
              <w:rPr>
                <w:rFonts w:ascii="Times New Roman" w:hAnsi="Times New Roman" w:cs="Times New Roman"/>
                <w:sz w:val="22"/>
                <w:szCs w:val="22"/>
              </w:rPr>
              <w:t>Health Literacy</w:t>
            </w:r>
            <w:r>
              <w:rPr>
                <w:rFonts w:ascii="Times New Roman" w:hAnsi="Times New Roman" w:cs="Times New Roman"/>
                <w:sz w:val="22"/>
                <w:szCs w:val="22"/>
                <w:vertAlign w:val="superscript"/>
              </w:rPr>
              <w:t xml:space="preserve"> a,s,k</w:t>
            </w:r>
          </w:p>
        </w:tc>
        <w:tc>
          <w:tcPr>
            <w:tcW w:w="3780" w:type="dxa"/>
            <w:tcBorders>
              <w:bottom w:val="single" w:sz="4" w:space="0" w:color="auto"/>
            </w:tcBorders>
          </w:tcPr>
          <w:p w14:paraId="05151699" w14:textId="77777777" w:rsidR="00FE38DD" w:rsidRPr="00662C59" w:rsidRDefault="00FE38DD" w:rsidP="00A659E1">
            <w:pPr>
              <w:rPr>
                <w:b/>
                <w:bCs/>
                <w:color w:val="FF0000"/>
                <w:sz w:val="22"/>
                <w:szCs w:val="22"/>
              </w:rPr>
            </w:pPr>
            <w:r w:rsidRPr="00662C59">
              <w:rPr>
                <w:b/>
                <w:bCs/>
                <w:color w:val="FF0000"/>
                <w:sz w:val="22"/>
                <w:szCs w:val="22"/>
              </w:rPr>
              <w:t>Entry-level:</w:t>
            </w:r>
          </w:p>
          <w:p w14:paraId="1510A25C" w14:textId="77777777" w:rsidR="00FE38DD" w:rsidRPr="00662C59" w:rsidRDefault="00FE38DD" w:rsidP="00A659E1">
            <w:pPr>
              <w:rPr>
                <w:b/>
                <w:bCs/>
                <w:color w:val="FF0000"/>
                <w:sz w:val="22"/>
                <w:szCs w:val="22"/>
              </w:rPr>
            </w:pPr>
          </w:p>
          <w:p w14:paraId="3A314E6E" w14:textId="77777777" w:rsidR="00FE38DD" w:rsidRDefault="00FE38DD" w:rsidP="00A659E1">
            <w:pPr>
              <w:rPr>
                <w:sz w:val="22"/>
                <w:szCs w:val="22"/>
              </w:rPr>
            </w:pPr>
            <w:r>
              <w:rPr>
                <w:sz w:val="22"/>
                <w:szCs w:val="22"/>
              </w:rPr>
              <w:t>-Present content that draws a connection between the two ideas of transactional communication and health literacy.</w:t>
            </w:r>
          </w:p>
          <w:p w14:paraId="109AB5D8" w14:textId="77777777" w:rsidR="00FE38DD" w:rsidRDefault="00FE38DD" w:rsidP="00A659E1">
            <w:pPr>
              <w:rPr>
                <w:sz w:val="22"/>
                <w:szCs w:val="22"/>
              </w:rPr>
            </w:pPr>
          </w:p>
          <w:p w14:paraId="1A3ED7D1" w14:textId="77777777" w:rsidR="00FE38DD" w:rsidRDefault="00FE38DD" w:rsidP="00A659E1">
            <w:pPr>
              <w:rPr>
                <w:sz w:val="22"/>
                <w:szCs w:val="22"/>
              </w:rPr>
            </w:pPr>
            <w:r>
              <w:rPr>
                <w:sz w:val="22"/>
                <w:szCs w:val="22"/>
              </w:rPr>
              <w:t>-Differentiate between sender-based communication models and transactional models and apply to an OSCE video</w:t>
            </w:r>
          </w:p>
          <w:p w14:paraId="77EA372D" w14:textId="77777777" w:rsidR="00FE38DD" w:rsidRDefault="00FE38DD" w:rsidP="00A659E1">
            <w:pPr>
              <w:rPr>
                <w:sz w:val="22"/>
                <w:szCs w:val="22"/>
              </w:rPr>
            </w:pPr>
          </w:p>
          <w:p w14:paraId="6F53B9C6" w14:textId="77777777" w:rsidR="00FE38DD" w:rsidRDefault="00FE38DD" w:rsidP="00A659E1">
            <w:pPr>
              <w:rPr>
                <w:sz w:val="22"/>
                <w:szCs w:val="22"/>
              </w:rPr>
            </w:pPr>
            <w:r>
              <w:rPr>
                <w:sz w:val="22"/>
                <w:szCs w:val="22"/>
              </w:rPr>
              <w:t>-Students build a definition of health literacy in groups, and then share in large group together, identifying common features, uncommon features to definitions</w:t>
            </w:r>
          </w:p>
          <w:p w14:paraId="7A0AC7A7" w14:textId="77777777" w:rsidR="00FE38DD" w:rsidRDefault="00FE38DD" w:rsidP="00A659E1">
            <w:pPr>
              <w:rPr>
                <w:sz w:val="22"/>
                <w:szCs w:val="22"/>
              </w:rPr>
            </w:pPr>
          </w:p>
          <w:p w14:paraId="0A9A5313" w14:textId="77777777" w:rsidR="00FE38DD" w:rsidRDefault="00FE38DD" w:rsidP="00A659E1">
            <w:pPr>
              <w:rPr>
                <w:b/>
                <w:bCs/>
                <w:color w:val="FF0000"/>
                <w:sz w:val="22"/>
                <w:szCs w:val="22"/>
              </w:rPr>
            </w:pPr>
            <w:r w:rsidRPr="00662C59">
              <w:rPr>
                <w:b/>
                <w:bCs/>
                <w:color w:val="FF0000"/>
                <w:sz w:val="22"/>
                <w:szCs w:val="22"/>
              </w:rPr>
              <w:t>Advanced:</w:t>
            </w:r>
          </w:p>
          <w:p w14:paraId="5D71A7B0" w14:textId="77777777" w:rsidR="00FE38DD" w:rsidRDefault="00FE38DD" w:rsidP="00A659E1">
            <w:pPr>
              <w:rPr>
                <w:b/>
                <w:bCs/>
                <w:color w:val="FF0000"/>
                <w:sz w:val="22"/>
                <w:szCs w:val="22"/>
              </w:rPr>
            </w:pPr>
          </w:p>
          <w:p w14:paraId="6C3AF615" w14:textId="77777777" w:rsidR="00FE38DD" w:rsidRDefault="00FE38DD" w:rsidP="00A659E1">
            <w:pPr>
              <w:jc w:val="both"/>
              <w:rPr>
                <w:color w:val="000000" w:themeColor="text1"/>
                <w:sz w:val="22"/>
                <w:szCs w:val="22"/>
              </w:rPr>
            </w:pPr>
            <w:r>
              <w:rPr>
                <w:color w:val="000000" w:themeColor="text1"/>
                <w:sz w:val="22"/>
                <w:szCs w:val="22"/>
              </w:rPr>
              <w:t>-Assign students different dimensions of a health literacy model and have them present “class conversation starters” on their domain/dimension</w:t>
            </w:r>
          </w:p>
          <w:p w14:paraId="2CFF7A18" w14:textId="77777777" w:rsidR="00FE38DD" w:rsidRDefault="00FE38DD" w:rsidP="00A659E1">
            <w:pPr>
              <w:jc w:val="both"/>
              <w:rPr>
                <w:color w:val="000000" w:themeColor="text1"/>
                <w:sz w:val="22"/>
                <w:szCs w:val="22"/>
              </w:rPr>
            </w:pPr>
          </w:p>
          <w:p w14:paraId="5FFBA4F0" w14:textId="77777777" w:rsidR="00FE38DD" w:rsidRDefault="00FE38DD" w:rsidP="00A659E1">
            <w:pPr>
              <w:jc w:val="both"/>
              <w:rPr>
                <w:color w:val="000000" w:themeColor="text1"/>
                <w:sz w:val="22"/>
                <w:szCs w:val="22"/>
              </w:rPr>
            </w:pPr>
            <w:r>
              <w:rPr>
                <w:color w:val="000000" w:themeColor="text1"/>
                <w:sz w:val="22"/>
                <w:szCs w:val="22"/>
              </w:rPr>
              <w:t>-Have students reflect on their own role in creating health literacy with patients and caregivers, and share one paragraph with the rest of the group for discussion</w:t>
            </w:r>
          </w:p>
          <w:p w14:paraId="53F36A32" w14:textId="77777777" w:rsidR="00FE38DD" w:rsidRDefault="00FE38DD" w:rsidP="00A659E1">
            <w:pPr>
              <w:jc w:val="both"/>
              <w:rPr>
                <w:color w:val="000000" w:themeColor="text1"/>
                <w:sz w:val="22"/>
                <w:szCs w:val="22"/>
              </w:rPr>
            </w:pPr>
          </w:p>
          <w:p w14:paraId="5A1EFC04" w14:textId="77777777" w:rsidR="00FE38DD" w:rsidRDefault="00FE38DD" w:rsidP="00A659E1">
            <w:pPr>
              <w:jc w:val="both"/>
              <w:rPr>
                <w:color w:val="000000" w:themeColor="text1"/>
                <w:sz w:val="22"/>
                <w:szCs w:val="22"/>
              </w:rPr>
            </w:pPr>
            <w:r>
              <w:rPr>
                <w:color w:val="000000" w:themeColor="text1"/>
                <w:sz w:val="22"/>
                <w:szCs w:val="22"/>
              </w:rPr>
              <w:t xml:space="preserve">-Assign a short paper exploring the transactional model and its role in </w:t>
            </w:r>
            <w:r>
              <w:rPr>
                <w:color w:val="000000" w:themeColor="text1"/>
                <w:sz w:val="22"/>
                <w:szCs w:val="22"/>
              </w:rPr>
              <w:lastRenderedPageBreak/>
              <w:t>nursing practice, versus a sender-based model of communication</w:t>
            </w:r>
          </w:p>
          <w:p w14:paraId="104DECAE" w14:textId="77777777" w:rsidR="00A535CF" w:rsidRDefault="00A535CF" w:rsidP="00A535CF">
            <w:pPr>
              <w:jc w:val="both"/>
              <w:rPr>
                <w:color w:val="000000" w:themeColor="text1"/>
                <w:sz w:val="22"/>
                <w:szCs w:val="22"/>
              </w:rPr>
            </w:pPr>
          </w:p>
          <w:p w14:paraId="3C3DE64B" w14:textId="620D92BD" w:rsidR="00A535CF" w:rsidRPr="00A535CF" w:rsidRDefault="00A535CF" w:rsidP="00A535CF">
            <w:pPr>
              <w:jc w:val="both"/>
              <w:rPr>
                <w:color w:val="000000" w:themeColor="text1"/>
                <w:sz w:val="22"/>
                <w:szCs w:val="22"/>
              </w:rPr>
            </w:pPr>
            <w:r w:rsidRPr="00642C21">
              <w:rPr>
                <w:color w:val="000000" w:themeColor="text1"/>
                <w:sz w:val="22"/>
                <w:szCs w:val="22"/>
              </w:rPr>
              <w:t xml:space="preserve">-Use standardized patient care scenarios to engage in </w:t>
            </w:r>
            <w:r w:rsidR="003B5864" w:rsidRPr="00642C21">
              <w:rPr>
                <w:color w:val="000000" w:themeColor="text1"/>
                <w:sz w:val="22"/>
                <w:szCs w:val="22"/>
              </w:rPr>
              <w:t>high-risk complicated</w:t>
            </w:r>
            <w:r w:rsidRPr="00642C21">
              <w:rPr>
                <w:color w:val="000000" w:themeColor="text1"/>
                <w:sz w:val="22"/>
                <w:szCs w:val="22"/>
              </w:rPr>
              <w:t xml:space="preserve"> conversations with patients, </w:t>
            </w:r>
            <w:r w:rsidR="00B43DF5" w:rsidRPr="00642C21">
              <w:rPr>
                <w:color w:val="000000" w:themeColor="text1"/>
                <w:sz w:val="22"/>
                <w:szCs w:val="22"/>
              </w:rPr>
              <w:t>and family</w:t>
            </w:r>
          </w:p>
        </w:tc>
        <w:tc>
          <w:tcPr>
            <w:tcW w:w="2700" w:type="dxa"/>
            <w:tcBorders>
              <w:bottom w:val="single" w:sz="4" w:space="0" w:color="auto"/>
            </w:tcBorders>
          </w:tcPr>
          <w:p w14:paraId="2DB894D4" w14:textId="77777777" w:rsidR="00FE38DD" w:rsidRDefault="00FE38DD" w:rsidP="00A659E1">
            <w:pPr>
              <w:rPr>
                <w:sz w:val="22"/>
                <w:szCs w:val="22"/>
              </w:rPr>
            </w:pPr>
            <w:r>
              <w:rPr>
                <w:sz w:val="22"/>
                <w:szCs w:val="22"/>
              </w:rPr>
              <w:lastRenderedPageBreak/>
              <w:t>Health Literacy Questionnaire</w:t>
            </w:r>
          </w:p>
          <w:p w14:paraId="1D324ABB" w14:textId="77777777" w:rsidR="00FE38DD" w:rsidRDefault="00337990" w:rsidP="00A659E1">
            <w:pPr>
              <w:rPr>
                <w:sz w:val="22"/>
                <w:szCs w:val="22"/>
              </w:rPr>
            </w:pPr>
            <w:hyperlink r:id="rId6" w:history="1">
              <w:r w:rsidR="00FE38DD" w:rsidRPr="001F1697">
                <w:rPr>
                  <w:rStyle w:val="Hyperlink"/>
                  <w:sz w:val="22"/>
                  <w:szCs w:val="22"/>
                </w:rPr>
                <w:t>https://healthliteracy.bu.edu/hlq</w:t>
              </w:r>
            </w:hyperlink>
          </w:p>
          <w:p w14:paraId="2D69A6E0" w14:textId="77777777" w:rsidR="00FE38DD" w:rsidRDefault="00FE38DD" w:rsidP="00A659E1">
            <w:pPr>
              <w:rPr>
                <w:sz w:val="22"/>
                <w:szCs w:val="22"/>
              </w:rPr>
            </w:pPr>
          </w:p>
          <w:p w14:paraId="4933A907" w14:textId="77777777" w:rsidR="00FE38DD" w:rsidRDefault="00FE38DD" w:rsidP="00A659E1">
            <w:pPr>
              <w:rPr>
                <w:sz w:val="22"/>
                <w:szCs w:val="22"/>
              </w:rPr>
            </w:pPr>
            <w:r>
              <w:rPr>
                <w:sz w:val="22"/>
                <w:szCs w:val="22"/>
              </w:rPr>
              <w:t>Transcultural Self-Efficacy Tool (Jeffreys, 2006)</w:t>
            </w:r>
          </w:p>
          <w:p w14:paraId="5DE86096" w14:textId="77777777" w:rsidR="00FE38DD" w:rsidRDefault="00FE38DD" w:rsidP="00A659E1">
            <w:pPr>
              <w:rPr>
                <w:sz w:val="22"/>
                <w:szCs w:val="22"/>
              </w:rPr>
            </w:pPr>
          </w:p>
          <w:p w14:paraId="36CE3BAD" w14:textId="77777777" w:rsidR="00FE38DD" w:rsidRPr="005376AD" w:rsidRDefault="00FE38DD" w:rsidP="00A659E1">
            <w:pPr>
              <w:rPr>
                <w:sz w:val="22"/>
                <w:szCs w:val="22"/>
              </w:rPr>
            </w:pPr>
            <w:r>
              <w:rPr>
                <w:sz w:val="22"/>
                <w:szCs w:val="22"/>
              </w:rPr>
              <w:t>Health Literacy Beliefs (Abrams et al, 2012)</w:t>
            </w:r>
          </w:p>
        </w:tc>
        <w:tc>
          <w:tcPr>
            <w:tcW w:w="5040" w:type="dxa"/>
            <w:tcBorders>
              <w:bottom w:val="single" w:sz="4" w:space="0" w:color="auto"/>
            </w:tcBorders>
          </w:tcPr>
          <w:p w14:paraId="20D425E1" w14:textId="77777777" w:rsidR="00FE38DD" w:rsidRPr="00536935" w:rsidRDefault="00FE38DD" w:rsidP="00A659E1">
            <w:pPr>
              <w:rPr>
                <w:sz w:val="22"/>
                <w:szCs w:val="22"/>
              </w:rPr>
            </w:pPr>
            <w:r w:rsidRPr="00536935">
              <w:rPr>
                <w:sz w:val="22"/>
                <w:szCs w:val="22"/>
              </w:rPr>
              <w:t xml:space="preserve">Wittenberg, E., Goldsmith, J.V., Ragan, S. L.., &amp; Parnell, T. A. (2020). </w:t>
            </w:r>
            <w:r w:rsidRPr="00536935">
              <w:rPr>
                <w:i/>
                <w:iCs/>
                <w:sz w:val="22"/>
                <w:szCs w:val="22"/>
              </w:rPr>
              <w:t xml:space="preserve">Communication in Palliative Nursing. </w:t>
            </w:r>
            <w:r w:rsidRPr="00536935">
              <w:rPr>
                <w:sz w:val="22"/>
                <w:szCs w:val="22"/>
              </w:rPr>
              <w:t>New York: Oxford University Press.</w:t>
            </w:r>
          </w:p>
          <w:p w14:paraId="05BDEDE7" w14:textId="77777777" w:rsidR="00FE38DD" w:rsidRDefault="00FE38DD" w:rsidP="00A659E1">
            <w:pPr>
              <w:rPr>
                <w:sz w:val="22"/>
                <w:szCs w:val="22"/>
              </w:rPr>
            </w:pPr>
          </w:p>
          <w:p w14:paraId="625C5D21" w14:textId="77777777" w:rsidR="00FE38DD" w:rsidRPr="001E41B4" w:rsidRDefault="00FE38DD" w:rsidP="00A659E1">
            <w:pPr>
              <w:rPr>
                <w:sz w:val="22"/>
                <w:szCs w:val="22"/>
              </w:rPr>
            </w:pPr>
            <w:r w:rsidRPr="001E41B4">
              <w:rPr>
                <w:sz w:val="22"/>
                <w:szCs w:val="22"/>
              </w:rPr>
              <w:t xml:space="preserve">Du Pre, A., &amp; Foster, E. (2015). Transactional Communication. In E. Wittenberg et al (Eds). </w:t>
            </w:r>
            <w:r w:rsidRPr="001E41B4">
              <w:rPr>
                <w:i/>
                <w:iCs/>
                <w:sz w:val="22"/>
                <w:szCs w:val="22"/>
              </w:rPr>
              <w:t>Textbook of Palliative Care Communication.</w:t>
            </w:r>
            <w:r w:rsidRPr="001E41B4">
              <w:rPr>
                <w:sz w:val="22"/>
                <w:szCs w:val="22"/>
              </w:rPr>
              <w:t xml:space="preserve"> New York: Oxford University Press.</w:t>
            </w:r>
          </w:p>
          <w:p w14:paraId="0C6DAD42" w14:textId="77777777" w:rsidR="00FE38DD" w:rsidRDefault="00FE38DD" w:rsidP="00A659E1">
            <w:pPr>
              <w:rPr>
                <w:sz w:val="22"/>
                <w:szCs w:val="22"/>
              </w:rPr>
            </w:pPr>
          </w:p>
          <w:p w14:paraId="669C7086" w14:textId="77777777" w:rsidR="00FE38DD" w:rsidRDefault="00FE38DD" w:rsidP="00A659E1">
            <w:pPr>
              <w:rPr>
                <w:sz w:val="22"/>
                <w:szCs w:val="22"/>
              </w:rPr>
            </w:pPr>
            <w:r>
              <w:rPr>
                <w:sz w:val="22"/>
                <w:szCs w:val="22"/>
              </w:rPr>
              <w:t xml:space="preserve">Jeffreys, M. R. (2016). </w:t>
            </w:r>
            <w:r>
              <w:rPr>
                <w:i/>
                <w:iCs/>
                <w:sz w:val="22"/>
                <w:szCs w:val="22"/>
              </w:rPr>
              <w:t>The cultural competence education resources toolkit (3</w:t>
            </w:r>
            <w:r w:rsidRPr="00E73654">
              <w:rPr>
                <w:i/>
                <w:iCs/>
                <w:sz w:val="22"/>
                <w:szCs w:val="22"/>
                <w:vertAlign w:val="superscript"/>
              </w:rPr>
              <w:t>rd</w:t>
            </w:r>
            <w:r>
              <w:rPr>
                <w:i/>
                <w:iCs/>
                <w:sz w:val="22"/>
                <w:szCs w:val="22"/>
              </w:rPr>
              <w:t xml:space="preserve"> ed.)</w:t>
            </w:r>
            <w:r>
              <w:rPr>
                <w:sz w:val="22"/>
                <w:szCs w:val="22"/>
              </w:rPr>
              <w:t xml:space="preserve"> Springer Publishing Company.</w:t>
            </w:r>
          </w:p>
          <w:p w14:paraId="1A95C3B0" w14:textId="77777777" w:rsidR="00FE38DD" w:rsidRDefault="00FE38DD" w:rsidP="00A659E1">
            <w:pPr>
              <w:rPr>
                <w:sz w:val="22"/>
                <w:szCs w:val="22"/>
              </w:rPr>
            </w:pPr>
          </w:p>
          <w:p w14:paraId="7E80E5D7" w14:textId="77777777" w:rsidR="00FE38DD" w:rsidRDefault="00FE38DD" w:rsidP="00A659E1">
            <w:pPr>
              <w:rPr>
                <w:sz w:val="22"/>
                <w:szCs w:val="22"/>
              </w:rPr>
            </w:pPr>
            <w:r>
              <w:rPr>
                <w:sz w:val="22"/>
                <w:szCs w:val="22"/>
              </w:rPr>
              <w:t xml:space="preserve">Abrams, M. A., Rita, S., Kurtz-Rossi, S., &amp; Nielson, G. (2012). </w:t>
            </w:r>
            <w:r>
              <w:rPr>
                <w:i/>
                <w:iCs/>
                <w:sz w:val="22"/>
                <w:szCs w:val="22"/>
              </w:rPr>
              <w:t xml:space="preserve">Always use teach-back! Training toolkit. </w:t>
            </w:r>
            <w:hyperlink r:id="rId7" w:history="1">
              <w:r w:rsidRPr="001F1697">
                <w:rPr>
                  <w:rStyle w:val="Hyperlink"/>
                  <w:sz w:val="22"/>
                  <w:szCs w:val="22"/>
                </w:rPr>
                <w:t>www.teachbacktraining.org</w:t>
              </w:r>
            </w:hyperlink>
          </w:p>
          <w:p w14:paraId="71160AE3" w14:textId="77777777" w:rsidR="00FE38DD" w:rsidRDefault="00FE38DD" w:rsidP="00A659E1">
            <w:pPr>
              <w:rPr>
                <w:sz w:val="22"/>
                <w:szCs w:val="22"/>
              </w:rPr>
            </w:pPr>
          </w:p>
          <w:p w14:paraId="14E1E5BA" w14:textId="4E9E57B8" w:rsidR="00A535CF" w:rsidRDefault="003B5864" w:rsidP="00A659E1">
            <w:pPr>
              <w:rPr>
                <w:sz w:val="22"/>
                <w:szCs w:val="22"/>
              </w:rPr>
            </w:pPr>
            <w:r w:rsidRPr="00642C21">
              <w:rPr>
                <w:sz w:val="22"/>
                <w:szCs w:val="22"/>
              </w:rPr>
              <w:t xml:space="preserve">Coates, J. (2021). The effectiveness of a simulation program to enhance readiness to engage in difficult conversations in clinical practice. Dimensions of Critical Care Nursing : Dccn, 40(5), 275–279. </w:t>
            </w:r>
            <w:hyperlink r:id="rId8" w:history="1">
              <w:r w:rsidR="00D9275C" w:rsidRPr="00642C21">
                <w:rPr>
                  <w:rStyle w:val="Hyperlink"/>
                  <w:sz w:val="22"/>
                  <w:szCs w:val="22"/>
                </w:rPr>
                <w:t>https://doi.org/10.1097/DCC.0000000000000489</w:t>
              </w:r>
            </w:hyperlink>
          </w:p>
          <w:p w14:paraId="31FE5E12" w14:textId="039F8A30" w:rsidR="00D9275C" w:rsidRPr="00E63406" w:rsidRDefault="00D9275C" w:rsidP="00A659E1">
            <w:pPr>
              <w:rPr>
                <w:sz w:val="22"/>
                <w:szCs w:val="22"/>
              </w:rPr>
            </w:pPr>
          </w:p>
        </w:tc>
      </w:tr>
      <w:tr w:rsidR="00FE38DD" w:rsidRPr="00221A1B" w14:paraId="026A2F0E" w14:textId="77777777" w:rsidTr="00A659E1">
        <w:tc>
          <w:tcPr>
            <w:tcW w:w="2875" w:type="dxa"/>
            <w:tcBorders>
              <w:bottom w:val="single" w:sz="4" w:space="0" w:color="auto"/>
            </w:tcBorders>
          </w:tcPr>
          <w:p w14:paraId="6A06632C" w14:textId="77777777" w:rsidR="00FE38DD" w:rsidRPr="00DB0FB6" w:rsidRDefault="00FE38DD" w:rsidP="00A659E1">
            <w:pPr>
              <w:pStyle w:val="ListParagraph"/>
              <w:numPr>
                <w:ilvl w:val="0"/>
                <w:numId w:val="3"/>
              </w:numPr>
              <w:rPr>
                <w:rFonts w:ascii="Times New Roman" w:hAnsi="Times New Roman" w:cs="Times New Roman"/>
                <w:sz w:val="22"/>
                <w:szCs w:val="22"/>
              </w:rPr>
            </w:pPr>
            <w:r w:rsidRPr="00BF3BDF">
              <w:rPr>
                <w:rFonts w:ascii="Times New Roman" w:hAnsi="Times New Roman" w:cs="Times New Roman"/>
                <w:sz w:val="22"/>
                <w:szCs w:val="22"/>
              </w:rPr>
              <w:t>Narrative Clinical Practice</w:t>
            </w:r>
            <w:r>
              <w:rPr>
                <w:rFonts w:ascii="Times New Roman" w:hAnsi="Times New Roman" w:cs="Times New Roman"/>
                <w:sz w:val="22"/>
                <w:szCs w:val="22"/>
              </w:rPr>
              <w:t xml:space="preserve"> </w:t>
            </w:r>
            <w:r>
              <w:rPr>
                <w:rFonts w:ascii="Times New Roman" w:hAnsi="Times New Roman" w:cs="Times New Roman"/>
                <w:sz w:val="22"/>
                <w:szCs w:val="22"/>
                <w:vertAlign w:val="superscript"/>
              </w:rPr>
              <w:t>a,k</w:t>
            </w:r>
          </w:p>
        </w:tc>
        <w:tc>
          <w:tcPr>
            <w:tcW w:w="3780" w:type="dxa"/>
            <w:tcBorders>
              <w:bottom w:val="single" w:sz="4" w:space="0" w:color="auto"/>
            </w:tcBorders>
          </w:tcPr>
          <w:p w14:paraId="12176D9F" w14:textId="77777777" w:rsidR="00FE38DD" w:rsidRDefault="00FE38DD" w:rsidP="00A659E1">
            <w:pPr>
              <w:rPr>
                <w:sz w:val="22"/>
                <w:szCs w:val="22"/>
              </w:rPr>
            </w:pPr>
            <w:r>
              <w:rPr>
                <w:sz w:val="22"/>
                <w:szCs w:val="22"/>
              </w:rPr>
              <w:t>-Create a narrative map of an illness experience shared by another study (Wittenberg et al., Exercise 5, p. 65)</w:t>
            </w:r>
          </w:p>
          <w:p w14:paraId="27D5300D" w14:textId="77777777" w:rsidR="00FE38DD" w:rsidRDefault="00FE38DD" w:rsidP="00A659E1">
            <w:pPr>
              <w:rPr>
                <w:sz w:val="22"/>
                <w:szCs w:val="22"/>
              </w:rPr>
            </w:pPr>
          </w:p>
          <w:p w14:paraId="38A11A8C" w14:textId="77777777" w:rsidR="00FE38DD" w:rsidRDefault="00FE38DD" w:rsidP="00A659E1">
            <w:pPr>
              <w:rPr>
                <w:sz w:val="22"/>
                <w:szCs w:val="22"/>
              </w:rPr>
            </w:pPr>
            <w:r>
              <w:rPr>
                <w:sz w:val="22"/>
                <w:szCs w:val="22"/>
              </w:rPr>
              <w:t>-Engage nurse as a storyteller; student free writes about a patient they were worked with. They have five minutes to share about the patient.  Students will note what words were used to describe the patient, their illness, the arc of the story, etc.</w:t>
            </w:r>
          </w:p>
          <w:p w14:paraId="17842CB3" w14:textId="77777777" w:rsidR="00FE38DD" w:rsidRDefault="00FE38DD" w:rsidP="00A659E1">
            <w:pPr>
              <w:rPr>
                <w:sz w:val="22"/>
                <w:szCs w:val="22"/>
              </w:rPr>
            </w:pPr>
          </w:p>
          <w:p w14:paraId="44B39F93" w14:textId="77777777" w:rsidR="00FE38DD" w:rsidRDefault="00FE38DD" w:rsidP="00A659E1">
            <w:pPr>
              <w:rPr>
                <w:sz w:val="22"/>
                <w:szCs w:val="22"/>
              </w:rPr>
            </w:pPr>
            <w:r>
              <w:rPr>
                <w:sz w:val="22"/>
                <w:szCs w:val="22"/>
              </w:rPr>
              <w:t>-In groups, have students locate a narrative in media about restitution, chaos, or quest. How do these narratives play a part in illness in each example?</w:t>
            </w:r>
          </w:p>
          <w:p w14:paraId="39FDAE5B" w14:textId="77777777" w:rsidR="00FE38DD" w:rsidRDefault="00FE38DD" w:rsidP="00A659E1">
            <w:pPr>
              <w:rPr>
                <w:sz w:val="22"/>
                <w:szCs w:val="22"/>
              </w:rPr>
            </w:pPr>
          </w:p>
          <w:p w14:paraId="5416BEBC" w14:textId="77777777" w:rsidR="00FE38DD" w:rsidRDefault="00FE38DD" w:rsidP="00A659E1">
            <w:pPr>
              <w:rPr>
                <w:sz w:val="22"/>
                <w:szCs w:val="22"/>
              </w:rPr>
            </w:pPr>
            <w:r w:rsidRPr="008B5B4B">
              <w:rPr>
                <w:color w:val="000000" w:themeColor="text1"/>
                <w:sz w:val="22"/>
                <w:szCs w:val="22"/>
              </w:rPr>
              <w:t>-Implement “What to Listen for and What to Ask” concepts in clinical rotation, and share back experience (</w:t>
            </w:r>
            <w:r>
              <w:rPr>
                <w:color w:val="000000" w:themeColor="text1"/>
                <w:sz w:val="22"/>
                <w:szCs w:val="22"/>
              </w:rPr>
              <w:t xml:space="preserve">guided by </w:t>
            </w:r>
            <w:r w:rsidRPr="008B5B4B">
              <w:rPr>
                <w:color w:val="000000" w:themeColor="text1"/>
                <w:sz w:val="22"/>
                <w:szCs w:val="22"/>
              </w:rPr>
              <w:t>Aloi, 2009)</w:t>
            </w:r>
          </w:p>
          <w:p w14:paraId="07A01ECC" w14:textId="77777777" w:rsidR="00FE38DD" w:rsidRPr="005376AD" w:rsidRDefault="00FE38DD" w:rsidP="00A659E1">
            <w:pPr>
              <w:rPr>
                <w:sz w:val="22"/>
                <w:szCs w:val="22"/>
              </w:rPr>
            </w:pPr>
          </w:p>
        </w:tc>
        <w:tc>
          <w:tcPr>
            <w:tcW w:w="2700" w:type="dxa"/>
            <w:tcBorders>
              <w:bottom w:val="single" w:sz="4" w:space="0" w:color="auto"/>
            </w:tcBorders>
          </w:tcPr>
          <w:p w14:paraId="24CA2C30" w14:textId="77777777" w:rsidR="00FE38DD" w:rsidRPr="007F3BEF" w:rsidRDefault="00FE38DD" w:rsidP="00A659E1">
            <w:pPr>
              <w:rPr>
                <w:sz w:val="22"/>
                <w:szCs w:val="22"/>
              </w:rPr>
            </w:pPr>
          </w:p>
        </w:tc>
        <w:tc>
          <w:tcPr>
            <w:tcW w:w="5040" w:type="dxa"/>
            <w:tcBorders>
              <w:bottom w:val="single" w:sz="4" w:space="0" w:color="auto"/>
            </w:tcBorders>
          </w:tcPr>
          <w:p w14:paraId="7B0DEA20" w14:textId="77777777" w:rsidR="00FE38DD" w:rsidRPr="007F3BEF" w:rsidRDefault="00FE38DD" w:rsidP="00A659E1">
            <w:pPr>
              <w:autoSpaceDE w:val="0"/>
              <w:autoSpaceDN w:val="0"/>
              <w:adjustRightInd w:val="0"/>
              <w:ind w:right="-66"/>
              <w:rPr>
                <w:rFonts w:eastAsiaTheme="minorHAnsi"/>
                <w:sz w:val="22"/>
                <w:szCs w:val="22"/>
              </w:rPr>
            </w:pPr>
            <w:r w:rsidRPr="007F3BEF">
              <w:rPr>
                <w:rFonts w:eastAsiaTheme="minorHAnsi"/>
                <w:sz w:val="22"/>
                <w:szCs w:val="22"/>
              </w:rPr>
              <w:t xml:space="preserve">Timpani, S., Sweet, L., &amp; Sivertsen, N. (2021, Mar). Storytelling: One arts-based learning strategy to reflect on clinical placement. An integrative review. </w:t>
            </w:r>
            <w:r w:rsidRPr="007F3BEF">
              <w:rPr>
                <w:rFonts w:eastAsiaTheme="minorHAnsi"/>
                <w:i/>
                <w:iCs/>
                <w:sz w:val="22"/>
                <w:szCs w:val="22"/>
              </w:rPr>
              <w:t>Nurse Educ Pract, 52</w:t>
            </w:r>
            <w:r w:rsidRPr="007F3BEF">
              <w:rPr>
                <w:rFonts w:eastAsiaTheme="minorHAnsi"/>
                <w:sz w:val="22"/>
                <w:szCs w:val="22"/>
              </w:rPr>
              <w:t xml:space="preserve">, 103005. https://doi.org/10.1016/j.nepr.2021.103005 </w:t>
            </w:r>
          </w:p>
          <w:p w14:paraId="5FDBD2C5" w14:textId="77777777" w:rsidR="00FE38DD" w:rsidRPr="007F3BEF" w:rsidRDefault="00FE38DD" w:rsidP="00A659E1">
            <w:pPr>
              <w:autoSpaceDE w:val="0"/>
              <w:autoSpaceDN w:val="0"/>
              <w:adjustRightInd w:val="0"/>
              <w:ind w:right="-720"/>
              <w:rPr>
                <w:rFonts w:eastAsiaTheme="minorHAnsi"/>
                <w:sz w:val="22"/>
                <w:szCs w:val="22"/>
              </w:rPr>
            </w:pPr>
          </w:p>
          <w:p w14:paraId="0F31C73B" w14:textId="77777777" w:rsidR="00FE38DD" w:rsidRPr="007F3BEF" w:rsidRDefault="00FE38DD" w:rsidP="00A659E1">
            <w:pPr>
              <w:autoSpaceDE w:val="0"/>
              <w:autoSpaceDN w:val="0"/>
              <w:adjustRightInd w:val="0"/>
              <w:ind w:right="-156"/>
              <w:rPr>
                <w:rFonts w:eastAsiaTheme="minorHAnsi"/>
                <w:sz w:val="22"/>
                <w:szCs w:val="22"/>
              </w:rPr>
            </w:pPr>
            <w:r w:rsidRPr="007F3BEF">
              <w:rPr>
                <w:rFonts w:eastAsiaTheme="minorHAnsi"/>
                <w:sz w:val="22"/>
                <w:szCs w:val="22"/>
              </w:rPr>
              <w:t xml:space="preserve">Hillier, M., Luff, D., &amp; Meyer, E. C. (2020, Aug 1). Innovative Communication Learning: Combining TED Talks and Reflective Writing for Nursing Students. </w:t>
            </w:r>
            <w:r w:rsidRPr="007F3BEF">
              <w:rPr>
                <w:rFonts w:eastAsiaTheme="minorHAnsi"/>
                <w:i/>
                <w:iCs/>
                <w:sz w:val="22"/>
                <w:szCs w:val="22"/>
              </w:rPr>
              <w:t>Creat Nurs, 26</w:t>
            </w:r>
            <w:r w:rsidRPr="007F3BEF">
              <w:rPr>
                <w:rFonts w:eastAsiaTheme="minorHAnsi"/>
                <w:sz w:val="22"/>
                <w:szCs w:val="22"/>
              </w:rPr>
              <w:t xml:space="preserve">(3), 182-188. https://doi.org/10.1891/CRNR-D-19-00056 </w:t>
            </w:r>
          </w:p>
          <w:p w14:paraId="03B4D8FC" w14:textId="77777777" w:rsidR="00FE38DD" w:rsidRPr="007F3BEF" w:rsidRDefault="00FE38DD" w:rsidP="00A659E1">
            <w:pPr>
              <w:autoSpaceDE w:val="0"/>
              <w:autoSpaceDN w:val="0"/>
              <w:adjustRightInd w:val="0"/>
              <w:ind w:right="-720"/>
              <w:rPr>
                <w:rFonts w:eastAsiaTheme="minorHAnsi"/>
                <w:sz w:val="22"/>
                <w:szCs w:val="22"/>
              </w:rPr>
            </w:pPr>
          </w:p>
          <w:p w14:paraId="4BF4F803" w14:textId="77777777" w:rsidR="00FE38DD" w:rsidRDefault="00FE38DD" w:rsidP="00A659E1">
            <w:pPr>
              <w:autoSpaceDE w:val="0"/>
              <w:autoSpaceDN w:val="0"/>
              <w:adjustRightInd w:val="0"/>
              <w:ind w:right="-156"/>
              <w:rPr>
                <w:rFonts w:eastAsiaTheme="minorHAnsi"/>
                <w:sz w:val="22"/>
                <w:szCs w:val="22"/>
              </w:rPr>
            </w:pPr>
            <w:r w:rsidRPr="0093776B">
              <w:rPr>
                <w:rFonts w:eastAsiaTheme="minorHAnsi"/>
                <w:sz w:val="22"/>
                <w:szCs w:val="22"/>
              </w:rPr>
              <w:t xml:space="preserve">Moosvi, K., &amp; Garbutt, S. (2020, Mar/Apr). Shifting Strategies: Using Film to Improve Therapeutic Communication and Nursing Education. </w:t>
            </w:r>
            <w:r w:rsidRPr="0093776B">
              <w:rPr>
                <w:rFonts w:eastAsiaTheme="minorHAnsi"/>
                <w:i/>
                <w:iCs/>
                <w:sz w:val="22"/>
                <w:szCs w:val="22"/>
              </w:rPr>
              <w:t>Nurs Educ Perspect, 41</w:t>
            </w:r>
            <w:r w:rsidRPr="0093776B">
              <w:rPr>
                <w:rFonts w:eastAsiaTheme="minorHAnsi"/>
                <w:sz w:val="22"/>
                <w:szCs w:val="22"/>
              </w:rPr>
              <w:t xml:space="preserve">(2), 134-135. </w:t>
            </w:r>
            <w:hyperlink r:id="rId9" w:history="1">
              <w:r w:rsidRPr="005143B6">
                <w:rPr>
                  <w:rStyle w:val="Hyperlink"/>
                  <w:rFonts w:eastAsiaTheme="minorHAnsi"/>
                  <w:sz w:val="22"/>
                  <w:szCs w:val="22"/>
                </w:rPr>
                <w:t>https://doi.org/10.1097/01.NEP.0000000000000431</w:t>
              </w:r>
            </w:hyperlink>
          </w:p>
          <w:p w14:paraId="0FDB7B56" w14:textId="77777777" w:rsidR="00FE38DD" w:rsidRDefault="00FE38DD" w:rsidP="00A659E1">
            <w:pPr>
              <w:autoSpaceDE w:val="0"/>
              <w:autoSpaceDN w:val="0"/>
              <w:adjustRightInd w:val="0"/>
              <w:ind w:right="-156"/>
              <w:rPr>
                <w:rFonts w:eastAsiaTheme="minorHAnsi"/>
                <w:sz w:val="22"/>
                <w:szCs w:val="22"/>
              </w:rPr>
            </w:pPr>
          </w:p>
          <w:p w14:paraId="72174976" w14:textId="77777777" w:rsidR="00FE38DD" w:rsidRPr="00993562" w:rsidRDefault="00FE38DD" w:rsidP="00A659E1">
            <w:pPr>
              <w:autoSpaceDE w:val="0"/>
              <w:autoSpaceDN w:val="0"/>
              <w:adjustRightInd w:val="0"/>
              <w:rPr>
                <w:sz w:val="22"/>
                <w:szCs w:val="22"/>
              </w:rPr>
            </w:pPr>
            <w:r w:rsidRPr="00C13FDA">
              <w:rPr>
                <w:sz w:val="22"/>
                <w:szCs w:val="22"/>
              </w:rPr>
              <w:t xml:space="preserve">Aloi, J. A. (2009, Oct). The nurse and the use of narrative: an approach to caring. </w:t>
            </w:r>
            <w:r w:rsidRPr="00C13FDA">
              <w:rPr>
                <w:i/>
                <w:iCs/>
                <w:sz w:val="22"/>
                <w:szCs w:val="22"/>
              </w:rPr>
              <w:t>J Psychiatr Ment Health Nurs, 16</w:t>
            </w:r>
            <w:r w:rsidRPr="00C13FDA">
              <w:rPr>
                <w:sz w:val="22"/>
                <w:szCs w:val="22"/>
              </w:rPr>
              <w:t xml:space="preserve">(8), 711-715. https://doi.org/10.1111/j.1365-2850.2009.01447.x </w:t>
            </w:r>
          </w:p>
        </w:tc>
      </w:tr>
      <w:tr w:rsidR="00FE38DD" w:rsidRPr="00221A1B" w14:paraId="5D83C2FC" w14:textId="77777777" w:rsidTr="00A659E1">
        <w:tc>
          <w:tcPr>
            <w:tcW w:w="2875" w:type="dxa"/>
            <w:tcBorders>
              <w:bottom w:val="single" w:sz="4" w:space="0" w:color="auto"/>
            </w:tcBorders>
          </w:tcPr>
          <w:p w14:paraId="3E9BD0E0" w14:textId="77777777" w:rsidR="00FE38DD" w:rsidRPr="00E53FB7" w:rsidRDefault="00FE38DD" w:rsidP="00A659E1">
            <w:pPr>
              <w:pStyle w:val="ListParagraph"/>
              <w:numPr>
                <w:ilvl w:val="0"/>
                <w:numId w:val="3"/>
              </w:numPr>
              <w:rPr>
                <w:rFonts w:ascii="Times New Roman" w:hAnsi="Times New Roman" w:cs="Times New Roman"/>
                <w:color w:val="000000" w:themeColor="text1"/>
                <w:sz w:val="22"/>
                <w:szCs w:val="22"/>
              </w:rPr>
            </w:pPr>
            <w:r w:rsidRPr="00E53FB7">
              <w:rPr>
                <w:rFonts w:ascii="Times New Roman" w:hAnsi="Times New Roman" w:cs="Times New Roman"/>
                <w:color w:val="000000" w:themeColor="text1"/>
                <w:sz w:val="22"/>
                <w:szCs w:val="22"/>
              </w:rPr>
              <w:t>Multiple Goals in Care</w:t>
            </w:r>
            <w:r>
              <w:rPr>
                <w:rFonts w:ascii="Times New Roman" w:hAnsi="Times New Roman" w:cs="Times New Roman"/>
                <w:sz w:val="22"/>
                <w:szCs w:val="22"/>
                <w:vertAlign w:val="superscript"/>
              </w:rPr>
              <w:t xml:space="preserve"> k,s</w:t>
            </w:r>
          </w:p>
          <w:p w14:paraId="7AA90255" w14:textId="77777777" w:rsidR="00FE38DD" w:rsidRPr="00A64352" w:rsidRDefault="00FE38DD" w:rsidP="00A659E1">
            <w:pPr>
              <w:pStyle w:val="ListParagraph"/>
              <w:numPr>
                <w:ilvl w:val="0"/>
                <w:numId w:val="3"/>
              </w:numPr>
              <w:rPr>
                <w:rFonts w:ascii="Times New Roman" w:hAnsi="Times New Roman" w:cs="Times New Roman"/>
                <w:sz w:val="22"/>
                <w:szCs w:val="22"/>
              </w:rPr>
            </w:pPr>
            <w:r w:rsidRPr="00E53FB7">
              <w:rPr>
                <w:rFonts w:ascii="Times New Roman" w:hAnsi="Times New Roman" w:cs="Times New Roman"/>
                <w:color w:val="000000" w:themeColor="text1"/>
                <w:sz w:val="22"/>
                <w:szCs w:val="22"/>
              </w:rPr>
              <w:t>Uncertainty</w:t>
            </w:r>
            <w:r>
              <w:rPr>
                <w:rFonts w:ascii="Times New Roman" w:hAnsi="Times New Roman" w:cs="Times New Roman"/>
                <w:sz w:val="22"/>
                <w:szCs w:val="22"/>
                <w:vertAlign w:val="superscript"/>
              </w:rPr>
              <w:t xml:space="preserve"> k,s</w:t>
            </w:r>
          </w:p>
        </w:tc>
        <w:tc>
          <w:tcPr>
            <w:tcW w:w="3780" w:type="dxa"/>
            <w:tcBorders>
              <w:bottom w:val="single" w:sz="4" w:space="0" w:color="auto"/>
            </w:tcBorders>
          </w:tcPr>
          <w:p w14:paraId="40CB695F" w14:textId="77777777" w:rsidR="00FE38DD" w:rsidRDefault="00FE38DD" w:rsidP="00A659E1">
            <w:pPr>
              <w:rPr>
                <w:b/>
                <w:bCs/>
                <w:color w:val="FF0000"/>
                <w:sz w:val="22"/>
                <w:szCs w:val="22"/>
              </w:rPr>
            </w:pPr>
            <w:r w:rsidRPr="00334671">
              <w:rPr>
                <w:b/>
                <w:bCs/>
                <w:color w:val="FF0000"/>
                <w:sz w:val="22"/>
                <w:szCs w:val="22"/>
              </w:rPr>
              <w:t>Advanced:</w:t>
            </w:r>
          </w:p>
          <w:p w14:paraId="569629F7" w14:textId="77777777" w:rsidR="00FE38DD" w:rsidRDefault="00FE38DD" w:rsidP="00A659E1">
            <w:pPr>
              <w:rPr>
                <w:b/>
                <w:bCs/>
                <w:color w:val="FF0000"/>
                <w:sz w:val="22"/>
                <w:szCs w:val="22"/>
              </w:rPr>
            </w:pPr>
          </w:p>
          <w:p w14:paraId="59D4DB5F" w14:textId="77777777" w:rsidR="00FE38DD" w:rsidRDefault="00FE38DD" w:rsidP="00A659E1">
            <w:pPr>
              <w:rPr>
                <w:color w:val="000000" w:themeColor="text1"/>
                <w:sz w:val="22"/>
                <w:szCs w:val="22"/>
              </w:rPr>
            </w:pPr>
            <w:r>
              <w:rPr>
                <w:color w:val="000000" w:themeColor="text1"/>
                <w:sz w:val="22"/>
                <w:szCs w:val="22"/>
              </w:rPr>
              <w:t>-Clarify via lecture the concept of uncertainty</w:t>
            </w:r>
          </w:p>
          <w:p w14:paraId="55F0A1E7" w14:textId="77777777" w:rsidR="00FE38DD" w:rsidRDefault="00FE38DD" w:rsidP="00A659E1">
            <w:pPr>
              <w:rPr>
                <w:color w:val="000000" w:themeColor="text1"/>
                <w:sz w:val="22"/>
                <w:szCs w:val="22"/>
              </w:rPr>
            </w:pPr>
          </w:p>
          <w:p w14:paraId="0B800552" w14:textId="77777777" w:rsidR="00FE38DD" w:rsidRDefault="00FE38DD" w:rsidP="00A659E1">
            <w:pPr>
              <w:rPr>
                <w:color w:val="000000" w:themeColor="text1"/>
                <w:sz w:val="22"/>
                <w:szCs w:val="22"/>
              </w:rPr>
            </w:pPr>
            <w:r>
              <w:rPr>
                <w:color w:val="000000" w:themeColor="text1"/>
                <w:sz w:val="22"/>
                <w:szCs w:val="22"/>
              </w:rPr>
              <w:t xml:space="preserve">-Share materials on the meaning of goals and their multiplicity </w:t>
            </w:r>
          </w:p>
          <w:p w14:paraId="4958CB91" w14:textId="77777777" w:rsidR="00FE38DD" w:rsidRPr="003E7A2C" w:rsidRDefault="00FE38DD" w:rsidP="00A659E1">
            <w:pPr>
              <w:rPr>
                <w:color w:val="000000" w:themeColor="text1"/>
                <w:sz w:val="22"/>
                <w:szCs w:val="22"/>
              </w:rPr>
            </w:pPr>
          </w:p>
          <w:p w14:paraId="6E865D07" w14:textId="77777777" w:rsidR="00FE38DD" w:rsidRDefault="00FE38DD" w:rsidP="00A659E1">
            <w:pPr>
              <w:rPr>
                <w:color w:val="000000" w:themeColor="text1"/>
                <w:sz w:val="22"/>
                <w:szCs w:val="22"/>
              </w:rPr>
            </w:pPr>
            <w:r>
              <w:rPr>
                <w:color w:val="000000" w:themeColor="text1"/>
                <w:sz w:val="22"/>
                <w:szCs w:val="22"/>
              </w:rPr>
              <w:t>-Identify uncertainties in video clips that feature illness stories, or in non-fiction writings</w:t>
            </w:r>
          </w:p>
          <w:p w14:paraId="33ABD034" w14:textId="77777777" w:rsidR="00FE38DD" w:rsidRDefault="00FE38DD" w:rsidP="00A659E1">
            <w:pPr>
              <w:rPr>
                <w:color w:val="000000" w:themeColor="text1"/>
                <w:sz w:val="22"/>
                <w:szCs w:val="22"/>
              </w:rPr>
            </w:pPr>
          </w:p>
          <w:p w14:paraId="615F1BB4" w14:textId="77777777" w:rsidR="00FE38DD" w:rsidRDefault="00FE38DD" w:rsidP="00A659E1">
            <w:pPr>
              <w:rPr>
                <w:color w:val="000000" w:themeColor="text1"/>
                <w:sz w:val="22"/>
                <w:szCs w:val="22"/>
              </w:rPr>
            </w:pPr>
            <w:r>
              <w:rPr>
                <w:color w:val="000000" w:themeColor="text1"/>
                <w:sz w:val="22"/>
                <w:szCs w:val="22"/>
              </w:rPr>
              <w:t xml:space="preserve">-Engage a role play. Find or create two scenarios to get students thinking and </w:t>
            </w:r>
            <w:r>
              <w:rPr>
                <w:color w:val="000000" w:themeColor="text1"/>
                <w:sz w:val="22"/>
                <w:szCs w:val="22"/>
              </w:rPr>
              <w:lastRenderedPageBreak/>
              <w:t>working on communication that is adaptive, based on patient uncertainty (Wittenberg et al, p. 240, Exercise 2 Adapting to the Patient)</w:t>
            </w:r>
          </w:p>
          <w:p w14:paraId="18B6A6CE" w14:textId="77777777" w:rsidR="00FE38DD" w:rsidRDefault="00FE38DD" w:rsidP="00A659E1">
            <w:pPr>
              <w:rPr>
                <w:color w:val="000000" w:themeColor="text1"/>
                <w:sz w:val="22"/>
                <w:szCs w:val="22"/>
              </w:rPr>
            </w:pPr>
          </w:p>
          <w:p w14:paraId="3229DB38" w14:textId="77777777" w:rsidR="00FE38DD" w:rsidRDefault="00FE38DD" w:rsidP="00A659E1">
            <w:pPr>
              <w:rPr>
                <w:color w:val="000000" w:themeColor="text1"/>
                <w:sz w:val="22"/>
                <w:szCs w:val="22"/>
              </w:rPr>
            </w:pPr>
            <w:r>
              <w:rPr>
                <w:color w:val="000000" w:themeColor="text1"/>
                <w:sz w:val="22"/>
                <w:szCs w:val="22"/>
              </w:rPr>
              <w:t>-In small groups work on Mining the Goals of an interaction between a nurse and family facing unknown illness and its outcomes. Read, analyze together the multiple goals at play in the conversation (Wittenberg et al, p. 242, Exercise 3, Mining the Goals)</w:t>
            </w:r>
          </w:p>
          <w:p w14:paraId="0ACBB788" w14:textId="77777777" w:rsidR="00FE38DD" w:rsidRDefault="00FE38DD" w:rsidP="00A659E1">
            <w:pPr>
              <w:rPr>
                <w:color w:val="000000" w:themeColor="text1"/>
                <w:sz w:val="22"/>
                <w:szCs w:val="22"/>
              </w:rPr>
            </w:pPr>
          </w:p>
          <w:p w14:paraId="444C9B1F" w14:textId="77777777" w:rsidR="00FE38DD" w:rsidRPr="00AF4EF0" w:rsidRDefault="00FE38DD" w:rsidP="00A659E1">
            <w:pPr>
              <w:rPr>
                <w:color w:val="000000" w:themeColor="text1"/>
                <w:sz w:val="22"/>
                <w:szCs w:val="22"/>
              </w:rPr>
            </w:pPr>
            <w:r>
              <w:rPr>
                <w:color w:val="000000" w:themeColor="text1"/>
                <w:sz w:val="22"/>
                <w:szCs w:val="22"/>
              </w:rPr>
              <w:t>-Individuals build response to challenging patient or family interactions, and then share and discuss (Wittenberg et al, p. 243, Exploring Ideas for Response)</w:t>
            </w:r>
          </w:p>
          <w:p w14:paraId="49E7CF60" w14:textId="77777777" w:rsidR="00FE38DD" w:rsidRPr="005376AD" w:rsidRDefault="00FE38DD" w:rsidP="00A659E1">
            <w:pPr>
              <w:rPr>
                <w:sz w:val="22"/>
                <w:szCs w:val="22"/>
              </w:rPr>
            </w:pPr>
          </w:p>
        </w:tc>
        <w:tc>
          <w:tcPr>
            <w:tcW w:w="2700" w:type="dxa"/>
            <w:tcBorders>
              <w:bottom w:val="single" w:sz="4" w:space="0" w:color="auto"/>
            </w:tcBorders>
          </w:tcPr>
          <w:p w14:paraId="5D0B6AEB" w14:textId="77777777" w:rsidR="00FE38DD" w:rsidRDefault="00FE38DD" w:rsidP="00A659E1">
            <w:pPr>
              <w:rPr>
                <w:sz w:val="22"/>
                <w:szCs w:val="22"/>
              </w:rPr>
            </w:pPr>
            <w:r>
              <w:rPr>
                <w:sz w:val="22"/>
                <w:szCs w:val="22"/>
              </w:rPr>
              <w:lastRenderedPageBreak/>
              <w:t>Frommelt Attitude Toward Care of the Dying (Frommelt, 1991)</w:t>
            </w:r>
          </w:p>
          <w:p w14:paraId="1A11996F" w14:textId="77777777" w:rsidR="00FE38DD" w:rsidRDefault="00FE38DD" w:rsidP="00A659E1">
            <w:pPr>
              <w:rPr>
                <w:sz w:val="22"/>
                <w:szCs w:val="22"/>
              </w:rPr>
            </w:pPr>
          </w:p>
          <w:p w14:paraId="3037E58E" w14:textId="77777777" w:rsidR="00FE38DD" w:rsidRDefault="00FE38DD" w:rsidP="00A659E1">
            <w:pPr>
              <w:rPr>
                <w:sz w:val="22"/>
                <w:szCs w:val="22"/>
              </w:rPr>
            </w:pPr>
            <w:r>
              <w:rPr>
                <w:sz w:val="22"/>
                <w:szCs w:val="22"/>
              </w:rPr>
              <w:t>Communication Apprehension with Dying Scale (Hayslip, 1987-1988)</w:t>
            </w:r>
          </w:p>
          <w:p w14:paraId="6B6E5532" w14:textId="77777777" w:rsidR="00FE38DD" w:rsidRDefault="00FE38DD" w:rsidP="00A659E1">
            <w:pPr>
              <w:rPr>
                <w:sz w:val="22"/>
                <w:szCs w:val="22"/>
              </w:rPr>
            </w:pPr>
          </w:p>
          <w:p w14:paraId="02C74C7D" w14:textId="77777777" w:rsidR="00FE38DD" w:rsidRPr="00C72112" w:rsidRDefault="00FE38DD" w:rsidP="00A659E1">
            <w:pPr>
              <w:rPr>
                <w:sz w:val="22"/>
                <w:szCs w:val="22"/>
              </w:rPr>
            </w:pPr>
            <w:r w:rsidRPr="00C72112">
              <w:rPr>
                <w:bCs/>
                <w:sz w:val="22"/>
                <w:szCs w:val="22"/>
              </w:rPr>
              <w:t xml:space="preserve">Comfort with Communication in Palliative and </w:t>
            </w:r>
            <w:r w:rsidRPr="008571B7">
              <w:rPr>
                <w:bCs/>
                <w:sz w:val="22"/>
                <w:szCs w:val="22"/>
              </w:rPr>
              <w:t xml:space="preserve">End of Life Care (C-COPE; </w:t>
            </w:r>
            <w:r w:rsidRPr="008571B7">
              <w:rPr>
                <w:sz w:val="22"/>
                <w:szCs w:val="22"/>
              </w:rPr>
              <w:t xml:space="preserve"> Isaacson &amp; Minton, 2019)</w:t>
            </w:r>
          </w:p>
        </w:tc>
        <w:tc>
          <w:tcPr>
            <w:tcW w:w="5040" w:type="dxa"/>
            <w:tcBorders>
              <w:bottom w:val="single" w:sz="4" w:space="0" w:color="auto"/>
            </w:tcBorders>
          </w:tcPr>
          <w:p w14:paraId="32CE0B7D" w14:textId="77777777" w:rsidR="00FE38DD" w:rsidRPr="003E24B8" w:rsidRDefault="00FE38DD" w:rsidP="00A659E1">
            <w:pPr>
              <w:autoSpaceDE w:val="0"/>
              <w:autoSpaceDN w:val="0"/>
              <w:adjustRightInd w:val="0"/>
              <w:ind w:left="-24" w:right="-66" w:firstLine="24"/>
              <w:rPr>
                <w:rFonts w:eastAsiaTheme="minorHAnsi"/>
                <w:sz w:val="22"/>
                <w:szCs w:val="22"/>
              </w:rPr>
            </w:pPr>
            <w:r w:rsidRPr="003E24B8">
              <w:rPr>
                <w:rFonts w:eastAsiaTheme="minorHAnsi"/>
                <w:sz w:val="22"/>
                <w:szCs w:val="22"/>
              </w:rPr>
              <w:t xml:space="preserve">Glover, T. L., Akerlund, H., Horgas, A. L., &amp; Bluck, S. (2019, Oct). Experiential Palliative Care Immersion: Student Nurse's Narratives Reflect Care Competencies. </w:t>
            </w:r>
            <w:r w:rsidRPr="003E24B8">
              <w:rPr>
                <w:rFonts w:eastAsiaTheme="minorHAnsi"/>
                <w:i/>
                <w:iCs/>
                <w:sz w:val="22"/>
                <w:szCs w:val="22"/>
              </w:rPr>
              <w:t>West J Nurs Res, 41</w:t>
            </w:r>
            <w:r w:rsidRPr="003E24B8">
              <w:rPr>
                <w:rFonts w:eastAsiaTheme="minorHAnsi"/>
                <w:sz w:val="22"/>
                <w:szCs w:val="22"/>
              </w:rPr>
              <w:t xml:space="preserve">(10), 1465-1480. https://doi.org/10.1177/0193945919833061 </w:t>
            </w:r>
          </w:p>
          <w:p w14:paraId="259B771B" w14:textId="77777777" w:rsidR="00FE38DD" w:rsidRDefault="00FE38DD" w:rsidP="00A659E1">
            <w:pPr>
              <w:autoSpaceDE w:val="0"/>
              <w:autoSpaceDN w:val="0"/>
              <w:adjustRightInd w:val="0"/>
              <w:ind w:right="-720"/>
              <w:rPr>
                <w:rFonts w:ascii="Helvetica" w:eastAsiaTheme="minorHAnsi" w:hAnsi="Helvetica" w:cs="Helvetica"/>
              </w:rPr>
            </w:pPr>
          </w:p>
          <w:p w14:paraId="5835163B" w14:textId="77777777" w:rsidR="00FE38DD" w:rsidRDefault="00FE38DD" w:rsidP="00A659E1">
            <w:pPr>
              <w:rPr>
                <w:sz w:val="22"/>
                <w:szCs w:val="22"/>
              </w:rPr>
            </w:pPr>
            <w:r>
              <w:rPr>
                <w:sz w:val="22"/>
                <w:szCs w:val="22"/>
              </w:rPr>
              <w:t xml:space="preserve">Frommelt, K. H. M. (1991). The effects of death education on nurses’ attitudes toward caring for terminally ill persons and their families. </w:t>
            </w:r>
            <w:r>
              <w:rPr>
                <w:i/>
                <w:iCs/>
                <w:sz w:val="22"/>
                <w:szCs w:val="22"/>
              </w:rPr>
              <w:t xml:space="preserve">American Journal of Hospice &amp; Palliaive Care,8, </w:t>
            </w:r>
            <w:r>
              <w:rPr>
                <w:sz w:val="22"/>
                <w:szCs w:val="22"/>
              </w:rPr>
              <w:t>37-43.</w:t>
            </w:r>
          </w:p>
          <w:p w14:paraId="07A2C3F5" w14:textId="77777777" w:rsidR="00FE38DD" w:rsidRDefault="00FE38DD" w:rsidP="00A659E1">
            <w:pPr>
              <w:rPr>
                <w:sz w:val="22"/>
                <w:szCs w:val="22"/>
              </w:rPr>
            </w:pPr>
          </w:p>
          <w:p w14:paraId="0A443E69" w14:textId="77777777" w:rsidR="00FE38DD" w:rsidRPr="00D510B1" w:rsidRDefault="00FE38DD" w:rsidP="00A659E1">
            <w:pPr>
              <w:autoSpaceDE w:val="0"/>
              <w:autoSpaceDN w:val="0"/>
              <w:adjustRightInd w:val="0"/>
              <w:ind w:left="-12" w:right="78"/>
              <w:rPr>
                <w:rFonts w:eastAsiaTheme="minorHAnsi"/>
                <w:sz w:val="22"/>
                <w:szCs w:val="22"/>
              </w:rPr>
            </w:pPr>
            <w:r w:rsidRPr="00D510B1">
              <w:rPr>
                <w:rFonts w:eastAsiaTheme="minorHAnsi"/>
                <w:sz w:val="22"/>
                <w:szCs w:val="22"/>
              </w:rPr>
              <w:t xml:space="preserve">Moffett, J., Hammond, J., Murphy, P., &amp; Pawlikowska, T. (2021, Aug). The ubiquity of uncertainty: a scoping review on how undergraduate </w:t>
            </w:r>
            <w:r w:rsidRPr="00D510B1">
              <w:rPr>
                <w:rFonts w:eastAsiaTheme="minorHAnsi"/>
                <w:sz w:val="22"/>
                <w:szCs w:val="22"/>
              </w:rPr>
              <w:lastRenderedPageBreak/>
              <w:t xml:space="preserve">health professions' students engage with uncertainty. </w:t>
            </w:r>
            <w:r w:rsidRPr="00D510B1">
              <w:rPr>
                <w:rFonts w:eastAsiaTheme="minorHAnsi"/>
                <w:i/>
                <w:iCs/>
                <w:sz w:val="22"/>
                <w:szCs w:val="22"/>
              </w:rPr>
              <w:t>Adv Health Sci Educ Theory Pract, 26</w:t>
            </w:r>
            <w:r w:rsidRPr="00D510B1">
              <w:rPr>
                <w:rFonts w:eastAsiaTheme="minorHAnsi"/>
                <w:sz w:val="22"/>
                <w:szCs w:val="22"/>
              </w:rPr>
              <w:t xml:space="preserve">(3), 913-958. https://doi.org/10.1007/s10459-021-10028-z </w:t>
            </w:r>
          </w:p>
          <w:p w14:paraId="771B02A8" w14:textId="77777777" w:rsidR="00FE38DD" w:rsidRDefault="00FE38DD" w:rsidP="00A659E1">
            <w:pPr>
              <w:autoSpaceDE w:val="0"/>
              <w:autoSpaceDN w:val="0"/>
              <w:adjustRightInd w:val="0"/>
              <w:ind w:left="-12" w:right="78"/>
              <w:rPr>
                <w:rFonts w:eastAsiaTheme="minorHAnsi"/>
                <w:sz w:val="22"/>
                <w:szCs w:val="22"/>
              </w:rPr>
            </w:pPr>
          </w:p>
          <w:p w14:paraId="6241CFEE" w14:textId="77777777" w:rsidR="00FE38DD" w:rsidRPr="00D510B1" w:rsidRDefault="00FE38DD" w:rsidP="00A659E1">
            <w:pPr>
              <w:autoSpaceDE w:val="0"/>
              <w:autoSpaceDN w:val="0"/>
              <w:adjustRightInd w:val="0"/>
              <w:ind w:left="-12" w:right="78"/>
              <w:rPr>
                <w:rFonts w:eastAsiaTheme="minorHAnsi"/>
                <w:sz w:val="22"/>
                <w:szCs w:val="22"/>
              </w:rPr>
            </w:pPr>
          </w:p>
          <w:p w14:paraId="11D2C2B1" w14:textId="030138A3" w:rsidR="00FE38DD" w:rsidRPr="00957B79" w:rsidRDefault="00B43DF5" w:rsidP="00A659E1">
            <w:pPr>
              <w:rPr>
                <w:sz w:val="22"/>
                <w:szCs w:val="22"/>
              </w:rPr>
            </w:pPr>
            <w:r w:rsidRPr="00642C21">
              <w:rPr>
                <w:sz w:val="22"/>
                <w:szCs w:val="22"/>
              </w:rPr>
              <w:t xml:space="preserve">Dadiz, R., Spear, M. L., &amp;amp; Denney-Koelsch, E. (2017). Teaching the art of difficult family conversations. </w:t>
            </w:r>
            <w:r w:rsidRPr="00642C21">
              <w:rPr>
                <w:i/>
                <w:iCs/>
                <w:sz w:val="22"/>
                <w:szCs w:val="22"/>
              </w:rPr>
              <w:t>Journal of Pain and Symptom Management</w:t>
            </w:r>
            <w:r w:rsidRPr="00642C21">
              <w:rPr>
                <w:sz w:val="22"/>
                <w:szCs w:val="22"/>
              </w:rPr>
              <w:t>, 53(2), 157–161. https://doi.org/10.1016/j.jpainsymman.2016.12.322</w:t>
            </w:r>
          </w:p>
        </w:tc>
      </w:tr>
      <w:tr w:rsidR="00FE38DD" w:rsidRPr="00221A1B" w14:paraId="5CCE0A30" w14:textId="77777777" w:rsidTr="00A659E1">
        <w:tc>
          <w:tcPr>
            <w:tcW w:w="2875" w:type="dxa"/>
          </w:tcPr>
          <w:p w14:paraId="22DC30B7" w14:textId="77777777" w:rsidR="00FE38DD" w:rsidRPr="003B215D" w:rsidRDefault="00FE38DD" w:rsidP="00A659E1">
            <w:pPr>
              <w:pStyle w:val="ListParagraph"/>
              <w:numPr>
                <w:ilvl w:val="0"/>
                <w:numId w:val="4"/>
              </w:numPr>
              <w:rPr>
                <w:rFonts w:ascii="Times New Roman" w:hAnsi="Times New Roman" w:cs="Times New Roman"/>
                <w:sz w:val="22"/>
                <w:szCs w:val="22"/>
              </w:rPr>
            </w:pPr>
            <w:r w:rsidRPr="003B215D">
              <w:rPr>
                <w:rFonts w:ascii="Times New Roman" w:hAnsi="Times New Roman" w:cs="Times New Roman"/>
                <w:sz w:val="22"/>
                <w:szCs w:val="22"/>
              </w:rPr>
              <w:lastRenderedPageBreak/>
              <w:t>Cultural humility</w:t>
            </w:r>
            <w:r>
              <w:rPr>
                <w:rFonts w:ascii="Times New Roman" w:hAnsi="Times New Roman" w:cs="Times New Roman"/>
                <w:sz w:val="22"/>
                <w:szCs w:val="22"/>
                <w:vertAlign w:val="superscript"/>
              </w:rPr>
              <w:t xml:space="preserve"> a,s,k</w:t>
            </w:r>
          </w:p>
          <w:p w14:paraId="744596EC" w14:textId="77777777" w:rsidR="00FE38DD" w:rsidRPr="00840A9B" w:rsidRDefault="00FE38DD" w:rsidP="00A659E1">
            <w:pPr>
              <w:pStyle w:val="ListParagraph"/>
              <w:numPr>
                <w:ilvl w:val="0"/>
                <w:numId w:val="4"/>
              </w:numPr>
            </w:pPr>
            <w:r w:rsidRPr="003B215D">
              <w:rPr>
                <w:rFonts w:ascii="Times New Roman" w:hAnsi="Times New Roman" w:cs="Times New Roman"/>
                <w:sz w:val="22"/>
                <w:szCs w:val="22"/>
              </w:rPr>
              <w:t>Health literacy</w:t>
            </w:r>
            <w:r>
              <w:rPr>
                <w:rFonts w:ascii="Times New Roman" w:hAnsi="Times New Roman" w:cs="Times New Roman"/>
                <w:sz w:val="22"/>
                <w:szCs w:val="22"/>
              </w:rPr>
              <w:t xml:space="preserve"> </w:t>
            </w:r>
            <w:r>
              <w:rPr>
                <w:rFonts w:ascii="Times New Roman" w:hAnsi="Times New Roman" w:cs="Times New Roman"/>
                <w:sz w:val="22"/>
                <w:szCs w:val="22"/>
                <w:vertAlign w:val="superscript"/>
              </w:rPr>
              <w:t>a,s,k</w:t>
            </w:r>
          </w:p>
          <w:p w14:paraId="2CBBCFA6" w14:textId="77777777" w:rsidR="00FE38DD" w:rsidRPr="00840A9B" w:rsidRDefault="00FE38DD" w:rsidP="00A659E1">
            <w:pPr>
              <w:pStyle w:val="ListParagraph"/>
              <w:numPr>
                <w:ilvl w:val="0"/>
                <w:numId w:val="4"/>
              </w:numPr>
            </w:pPr>
            <w:r w:rsidRPr="009671F8">
              <w:rPr>
                <w:rFonts w:ascii="Times New Roman" w:hAnsi="Times New Roman" w:cs="Times New Roman"/>
                <w:sz w:val="22"/>
                <w:szCs w:val="22"/>
              </w:rPr>
              <w:t>Family Caregiver</w:t>
            </w:r>
            <w:r>
              <w:rPr>
                <w:rFonts w:ascii="Times New Roman" w:hAnsi="Times New Roman" w:cs="Times New Roman"/>
                <w:sz w:val="22"/>
                <w:szCs w:val="22"/>
              </w:rPr>
              <w:t xml:space="preserve"> </w:t>
            </w:r>
            <w:r>
              <w:rPr>
                <w:rFonts w:ascii="Times New Roman" w:hAnsi="Times New Roman" w:cs="Times New Roman"/>
                <w:sz w:val="22"/>
                <w:szCs w:val="22"/>
                <w:vertAlign w:val="superscript"/>
              </w:rPr>
              <w:t>a,s,k</w:t>
            </w:r>
          </w:p>
          <w:p w14:paraId="3C19ED25" w14:textId="77777777" w:rsidR="00FE38DD" w:rsidRPr="00893499" w:rsidRDefault="00FE38DD" w:rsidP="00A659E1">
            <w:pPr>
              <w:rPr>
                <w:sz w:val="22"/>
                <w:szCs w:val="22"/>
              </w:rPr>
            </w:pPr>
          </w:p>
        </w:tc>
        <w:tc>
          <w:tcPr>
            <w:tcW w:w="3780" w:type="dxa"/>
          </w:tcPr>
          <w:p w14:paraId="49AB761D" w14:textId="77777777" w:rsidR="00FE38DD" w:rsidRDefault="00FE38DD" w:rsidP="00A659E1">
            <w:pPr>
              <w:rPr>
                <w:b/>
                <w:bCs/>
                <w:color w:val="FF0000"/>
                <w:sz w:val="22"/>
                <w:szCs w:val="22"/>
              </w:rPr>
            </w:pPr>
            <w:r w:rsidRPr="00840A9B">
              <w:rPr>
                <w:b/>
                <w:bCs/>
                <w:color w:val="FF0000"/>
                <w:sz w:val="22"/>
                <w:szCs w:val="22"/>
              </w:rPr>
              <w:t>Entry Level:</w:t>
            </w:r>
          </w:p>
          <w:p w14:paraId="51DF0FED" w14:textId="77777777" w:rsidR="00FE38DD" w:rsidRDefault="00FE38DD" w:rsidP="00A659E1">
            <w:pPr>
              <w:rPr>
                <w:b/>
                <w:bCs/>
                <w:color w:val="FF0000"/>
                <w:sz w:val="22"/>
                <w:szCs w:val="22"/>
              </w:rPr>
            </w:pPr>
          </w:p>
          <w:p w14:paraId="7572C552" w14:textId="77777777" w:rsidR="00FE38DD" w:rsidRDefault="00FE38DD" w:rsidP="00A659E1">
            <w:pPr>
              <w:rPr>
                <w:color w:val="000000" w:themeColor="text1"/>
                <w:sz w:val="22"/>
                <w:szCs w:val="22"/>
              </w:rPr>
            </w:pPr>
            <w:r>
              <w:rPr>
                <w:color w:val="000000" w:themeColor="text1"/>
                <w:sz w:val="22"/>
                <w:szCs w:val="22"/>
              </w:rPr>
              <w:t>-Introduce health literacy as a concept and multi-variable models that situation the provider/nurse as a central domain</w:t>
            </w:r>
          </w:p>
          <w:p w14:paraId="4F08CCE7" w14:textId="77777777" w:rsidR="00FE38DD" w:rsidRDefault="00FE38DD" w:rsidP="00A659E1">
            <w:pPr>
              <w:rPr>
                <w:color w:val="000000" w:themeColor="text1"/>
                <w:sz w:val="22"/>
                <w:szCs w:val="22"/>
              </w:rPr>
            </w:pPr>
          </w:p>
          <w:p w14:paraId="1FA9AC56" w14:textId="77777777" w:rsidR="00FE38DD" w:rsidRDefault="00FE38DD" w:rsidP="00A659E1">
            <w:pPr>
              <w:rPr>
                <w:color w:val="000000" w:themeColor="text1"/>
                <w:sz w:val="22"/>
                <w:szCs w:val="22"/>
              </w:rPr>
            </w:pPr>
            <w:r>
              <w:rPr>
                <w:color w:val="000000" w:themeColor="text1"/>
                <w:sz w:val="22"/>
                <w:szCs w:val="22"/>
              </w:rPr>
              <w:t>-Engage students in small groups to define terms including culture, cultural difference, cultural competency, and cultural humility</w:t>
            </w:r>
          </w:p>
          <w:p w14:paraId="4B4520BB" w14:textId="77777777" w:rsidR="00FE38DD" w:rsidRDefault="00FE38DD" w:rsidP="00A659E1">
            <w:pPr>
              <w:rPr>
                <w:color w:val="000000" w:themeColor="text1"/>
                <w:sz w:val="22"/>
                <w:szCs w:val="22"/>
              </w:rPr>
            </w:pPr>
          </w:p>
          <w:p w14:paraId="36057655" w14:textId="77777777" w:rsidR="00FE38DD" w:rsidRDefault="00FE38DD" w:rsidP="00A659E1">
            <w:pPr>
              <w:rPr>
                <w:color w:val="000000" w:themeColor="text1"/>
                <w:sz w:val="22"/>
                <w:szCs w:val="22"/>
              </w:rPr>
            </w:pPr>
            <w:r>
              <w:rPr>
                <w:color w:val="000000" w:themeColor="text1"/>
                <w:sz w:val="22"/>
                <w:szCs w:val="22"/>
              </w:rPr>
              <w:t>-Students will work in pairs to build a list of ideas, prompts or questions to impact health literacy pathways for patients and caregivers</w:t>
            </w:r>
          </w:p>
          <w:p w14:paraId="0A9970E6" w14:textId="77777777" w:rsidR="00FE38DD" w:rsidRDefault="00FE38DD" w:rsidP="00A659E1">
            <w:pPr>
              <w:rPr>
                <w:color w:val="000000" w:themeColor="text1"/>
                <w:sz w:val="22"/>
                <w:szCs w:val="22"/>
              </w:rPr>
            </w:pPr>
          </w:p>
          <w:p w14:paraId="3B8CEF1D" w14:textId="77777777" w:rsidR="00FE38DD" w:rsidRDefault="00FE38DD" w:rsidP="00A659E1">
            <w:pPr>
              <w:rPr>
                <w:color w:val="000000" w:themeColor="text1"/>
                <w:sz w:val="22"/>
                <w:szCs w:val="22"/>
              </w:rPr>
            </w:pPr>
            <w:r>
              <w:rPr>
                <w:color w:val="000000" w:themeColor="text1"/>
                <w:sz w:val="22"/>
                <w:szCs w:val="22"/>
              </w:rPr>
              <w:t xml:space="preserve">-Provide lecture on theory of family structures and systems, and definitions of family </w:t>
            </w:r>
          </w:p>
          <w:p w14:paraId="28BDF0EC" w14:textId="77777777" w:rsidR="00FE38DD" w:rsidRDefault="00FE38DD" w:rsidP="00A659E1">
            <w:pPr>
              <w:rPr>
                <w:color w:val="000000" w:themeColor="text1"/>
                <w:sz w:val="22"/>
                <w:szCs w:val="22"/>
              </w:rPr>
            </w:pPr>
          </w:p>
          <w:p w14:paraId="19D048DB" w14:textId="77777777" w:rsidR="00FE38DD" w:rsidRDefault="00FE38DD" w:rsidP="00A659E1">
            <w:pPr>
              <w:rPr>
                <w:color w:val="000000" w:themeColor="text1"/>
                <w:sz w:val="22"/>
                <w:szCs w:val="22"/>
              </w:rPr>
            </w:pPr>
            <w:r>
              <w:rPr>
                <w:color w:val="000000" w:themeColor="text1"/>
                <w:sz w:val="22"/>
                <w:szCs w:val="22"/>
              </w:rPr>
              <w:t>-Students work as a whole group to create a definition of family</w:t>
            </w:r>
          </w:p>
          <w:p w14:paraId="6687B919" w14:textId="77777777" w:rsidR="00FE38DD" w:rsidRDefault="00FE38DD" w:rsidP="00A659E1">
            <w:pPr>
              <w:rPr>
                <w:sz w:val="22"/>
                <w:szCs w:val="22"/>
              </w:rPr>
            </w:pPr>
          </w:p>
          <w:p w14:paraId="7FD4CF1E" w14:textId="77777777" w:rsidR="00FE38DD" w:rsidRDefault="00FE38DD" w:rsidP="00A659E1">
            <w:pPr>
              <w:rPr>
                <w:b/>
                <w:bCs/>
                <w:color w:val="FF0000"/>
                <w:sz w:val="22"/>
                <w:szCs w:val="22"/>
              </w:rPr>
            </w:pPr>
            <w:r w:rsidRPr="00840A9B">
              <w:rPr>
                <w:b/>
                <w:bCs/>
                <w:color w:val="FF0000"/>
                <w:sz w:val="22"/>
                <w:szCs w:val="22"/>
              </w:rPr>
              <w:lastRenderedPageBreak/>
              <w:t>Advanced:</w:t>
            </w:r>
          </w:p>
          <w:p w14:paraId="221AA657" w14:textId="77777777" w:rsidR="00FE38DD" w:rsidRDefault="00FE38DD" w:rsidP="00A659E1">
            <w:pPr>
              <w:rPr>
                <w:b/>
                <w:bCs/>
                <w:color w:val="FF0000"/>
                <w:sz w:val="22"/>
                <w:szCs w:val="22"/>
              </w:rPr>
            </w:pPr>
          </w:p>
          <w:p w14:paraId="736C1591" w14:textId="77777777" w:rsidR="00FE38DD" w:rsidRDefault="00FE38DD" w:rsidP="00A659E1">
            <w:pPr>
              <w:rPr>
                <w:color w:val="000000" w:themeColor="text1"/>
                <w:sz w:val="22"/>
                <w:szCs w:val="22"/>
              </w:rPr>
            </w:pPr>
            <w:r>
              <w:rPr>
                <w:color w:val="000000" w:themeColor="text1"/>
                <w:sz w:val="22"/>
                <w:szCs w:val="22"/>
              </w:rPr>
              <w:t>-Introduce family caregiver communication and typology (Wittenberg et al.) in lecture followed by four case analysis to identify caregiver types in discussion format</w:t>
            </w:r>
          </w:p>
          <w:p w14:paraId="14846433" w14:textId="77777777" w:rsidR="00FE38DD" w:rsidRDefault="00FE38DD" w:rsidP="00A659E1">
            <w:pPr>
              <w:rPr>
                <w:color w:val="000000" w:themeColor="text1"/>
                <w:sz w:val="22"/>
                <w:szCs w:val="22"/>
              </w:rPr>
            </w:pPr>
          </w:p>
          <w:p w14:paraId="3604AA35" w14:textId="77777777" w:rsidR="00FE38DD" w:rsidRDefault="00FE38DD" w:rsidP="00A659E1">
            <w:pPr>
              <w:rPr>
                <w:color w:val="000000" w:themeColor="text1"/>
                <w:sz w:val="22"/>
                <w:szCs w:val="22"/>
              </w:rPr>
            </w:pPr>
            <w:r>
              <w:rPr>
                <w:color w:val="000000" w:themeColor="text1"/>
                <w:sz w:val="22"/>
                <w:szCs w:val="22"/>
              </w:rPr>
              <w:t>-Apply health literacy to family caregiver types in short research paper</w:t>
            </w:r>
          </w:p>
          <w:p w14:paraId="6C027723" w14:textId="77777777" w:rsidR="00FE38DD" w:rsidRDefault="00FE38DD" w:rsidP="00A659E1">
            <w:pPr>
              <w:rPr>
                <w:color w:val="000000" w:themeColor="text1"/>
                <w:sz w:val="22"/>
                <w:szCs w:val="22"/>
              </w:rPr>
            </w:pPr>
          </w:p>
          <w:p w14:paraId="1A279DAC" w14:textId="4AF758AF" w:rsidR="000813C6" w:rsidRDefault="00FE38DD" w:rsidP="000813C6">
            <w:pPr>
              <w:rPr>
                <w:color w:val="000000" w:themeColor="text1"/>
                <w:sz w:val="22"/>
                <w:szCs w:val="22"/>
              </w:rPr>
            </w:pPr>
            <w:r>
              <w:rPr>
                <w:color w:val="000000" w:themeColor="text1"/>
                <w:sz w:val="22"/>
                <w:szCs w:val="22"/>
              </w:rPr>
              <w:t>-Implement cultural humility into clinical practice and present experience to class</w:t>
            </w:r>
          </w:p>
          <w:p w14:paraId="0E120559" w14:textId="77777777" w:rsidR="00DF10FB" w:rsidRDefault="00DF10FB" w:rsidP="000813C6">
            <w:pPr>
              <w:rPr>
                <w:color w:val="000000" w:themeColor="text1"/>
                <w:sz w:val="22"/>
                <w:szCs w:val="22"/>
              </w:rPr>
            </w:pPr>
          </w:p>
          <w:p w14:paraId="35A16949" w14:textId="6F430927" w:rsidR="00DF10FB" w:rsidRPr="00056B04" w:rsidRDefault="00DF10FB" w:rsidP="00DF10FB">
            <w:pPr>
              <w:rPr>
                <w:color w:val="000000" w:themeColor="text1"/>
                <w:sz w:val="22"/>
                <w:szCs w:val="22"/>
              </w:rPr>
            </w:pPr>
            <w:r w:rsidRPr="00642C21">
              <w:rPr>
                <w:color w:val="000000" w:themeColor="text1"/>
                <w:sz w:val="22"/>
                <w:szCs w:val="22"/>
              </w:rPr>
              <w:t xml:space="preserve">- </w:t>
            </w:r>
            <w:r w:rsidRPr="00642C21">
              <w:t xml:space="preserve">Use role </w:t>
            </w:r>
            <w:r w:rsidR="00A2096E" w:rsidRPr="00642C21">
              <w:t xml:space="preserve">play or standardized patient care scenarios </w:t>
            </w:r>
            <w:r w:rsidRPr="00642C21">
              <w:t>to understand personal communication style and promote</w:t>
            </w:r>
            <w:r w:rsidR="00C4381C" w:rsidRPr="00642C21">
              <w:t xml:space="preserve"> intrapersonal</w:t>
            </w:r>
            <w:r w:rsidRPr="00642C21">
              <w:t xml:space="preserve"> reflection.</w:t>
            </w:r>
            <w:r>
              <w:t xml:space="preserve">  </w:t>
            </w:r>
          </w:p>
        </w:tc>
        <w:tc>
          <w:tcPr>
            <w:tcW w:w="2700" w:type="dxa"/>
          </w:tcPr>
          <w:p w14:paraId="0C50DAD5" w14:textId="77777777" w:rsidR="00FE38DD" w:rsidRDefault="00FE38DD" w:rsidP="00A659E1">
            <w:pPr>
              <w:rPr>
                <w:sz w:val="22"/>
                <w:szCs w:val="22"/>
              </w:rPr>
            </w:pPr>
            <w:r w:rsidRPr="00B949C4">
              <w:rPr>
                <w:sz w:val="22"/>
                <w:szCs w:val="22"/>
              </w:rPr>
              <w:lastRenderedPageBreak/>
              <w:t>Scale Assessing Self-Efficacy for Cultural Competence in Patient Counseling (Assemi et al, 2006)</w:t>
            </w:r>
          </w:p>
          <w:p w14:paraId="14E7D188" w14:textId="77777777" w:rsidR="00FE38DD" w:rsidRDefault="00FE38DD" w:rsidP="00A659E1">
            <w:pPr>
              <w:rPr>
                <w:sz w:val="22"/>
                <w:szCs w:val="22"/>
              </w:rPr>
            </w:pPr>
          </w:p>
          <w:p w14:paraId="1C5E1212" w14:textId="77777777" w:rsidR="00FE38DD" w:rsidRPr="00B949C4" w:rsidRDefault="00FE38DD" w:rsidP="00A659E1">
            <w:pPr>
              <w:rPr>
                <w:sz w:val="22"/>
                <w:szCs w:val="22"/>
              </w:rPr>
            </w:pPr>
            <w:r>
              <w:rPr>
                <w:sz w:val="22"/>
                <w:szCs w:val="22"/>
              </w:rPr>
              <w:t>Families’ Importance in Nursing Care: Nurses’ Attitudes Scale (Benzein et al, 2008)</w:t>
            </w:r>
          </w:p>
        </w:tc>
        <w:tc>
          <w:tcPr>
            <w:tcW w:w="5040" w:type="dxa"/>
          </w:tcPr>
          <w:p w14:paraId="5FE7F0D6" w14:textId="77777777" w:rsidR="00FE38DD" w:rsidRPr="000B3B86" w:rsidRDefault="00FE38DD" w:rsidP="00A659E1">
            <w:pPr>
              <w:autoSpaceDE w:val="0"/>
              <w:autoSpaceDN w:val="0"/>
              <w:adjustRightInd w:val="0"/>
              <w:ind w:right="-156"/>
              <w:rPr>
                <w:rFonts w:eastAsiaTheme="minorHAnsi"/>
                <w:sz w:val="22"/>
                <w:szCs w:val="22"/>
              </w:rPr>
            </w:pPr>
            <w:r w:rsidRPr="000B3B86">
              <w:rPr>
                <w:rFonts w:eastAsiaTheme="minorHAnsi"/>
                <w:sz w:val="22"/>
                <w:szCs w:val="22"/>
              </w:rPr>
              <w:t xml:space="preserve">Assemi, M., Cullander, C., &amp; Hudmon, K. S. (2006, Dec). Psychometric analysis of a scale assessing self-efficacy for cultural competence in patient counseling. </w:t>
            </w:r>
            <w:r w:rsidRPr="000B3B86">
              <w:rPr>
                <w:rFonts w:eastAsiaTheme="minorHAnsi"/>
                <w:i/>
                <w:iCs/>
                <w:sz w:val="22"/>
                <w:szCs w:val="22"/>
              </w:rPr>
              <w:t>Ann Pharmacother, 40</w:t>
            </w:r>
            <w:r w:rsidRPr="000B3B86">
              <w:rPr>
                <w:rFonts w:eastAsiaTheme="minorHAnsi"/>
                <w:sz w:val="22"/>
                <w:szCs w:val="22"/>
              </w:rPr>
              <w:t xml:space="preserve">(12), 2130-2135. https://doi.org/10.1345/aph.1H248 </w:t>
            </w:r>
          </w:p>
          <w:p w14:paraId="600F39B3" w14:textId="77777777" w:rsidR="00FE38DD" w:rsidRPr="000B3B86" w:rsidRDefault="00FE38DD" w:rsidP="00A659E1">
            <w:pPr>
              <w:autoSpaceDE w:val="0"/>
              <w:autoSpaceDN w:val="0"/>
              <w:adjustRightInd w:val="0"/>
              <w:ind w:right="-156"/>
              <w:rPr>
                <w:rFonts w:eastAsiaTheme="minorHAnsi"/>
                <w:sz w:val="22"/>
                <w:szCs w:val="22"/>
              </w:rPr>
            </w:pPr>
          </w:p>
          <w:p w14:paraId="432580D0" w14:textId="77777777" w:rsidR="00FE38DD" w:rsidRPr="000B3B86" w:rsidRDefault="00FE38DD" w:rsidP="00A659E1">
            <w:pPr>
              <w:autoSpaceDE w:val="0"/>
              <w:autoSpaceDN w:val="0"/>
              <w:adjustRightInd w:val="0"/>
              <w:ind w:right="-156"/>
              <w:rPr>
                <w:rFonts w:eastAsiaTheme="minorHAnsi"/>
                <w:sz w:val="22"/>
                <w:szCs w:val="22"/>
              </w:rPr>
            </w:pPr>
            <w:r w:rsidRPr="000B3B86">
              <w:rPr>
                <w:rFonts w:eastAsiaTheme="minorHAnsi"/>
                <w:sz w:val="22"/>
                <w:szCs w:val="22"/>
              </w:rPr>
              <w:t xml:space="preserve">Dencker, A., Tjornhoj-Thomsen, T., &amp; Pedersen, P. V. (2021, Nov). A qualitative study of mechanisms influencing social inequality in cancer communication. </w:t>
            </w:r>
            <w:r w:rsidRPr="000B3B86">
              <w:rPr>
                <w:rFonts w:eastAsiaTheme="minorHAnsi"/>
                <w:i/>
                <w:iCs/>
                <w:sz w:val="22"/>
                <w:szCs w:val="22"/>
              </w:rPr>
              <w:t>Psychooncology, 30</w:t>
            </w:r>
            <w:r w:rsidRPr="000B3B86">
              <w:rPr>
                <w:rFonts w:eastAsiaTheme="minorHAnsi"/>
                <w:sz w:val="22"/>
                <w:szCs w:val="22"/>
              </w:rPr>
              <w:t xml:space="preserve">(11), 1965-1972. https://doi.org/10.1002/pon.5767 </w:t>
            </w:r>
          </w:p>
          <w:p w14:paraId="10CB7DE9" w14:textId="77777777" w:rsidR="00FE38DD" w:rsidRPr="000B3B86" w:rsidRDefault="00FE38DD" w:rsidP="00A659E1">
            <w:pPr>
              <w:autoSpaceDE w:val="0"/>
              <w:autoSpaceDN w:val="0"/>
              <w:adjustRightInd w:val="0"/>
              <w:ind w:right="-156"/>
              <w:rPr>
                <w:rFonts w:eastAsiaTheme="minorHAnsi"/>
                <w:sz w:val="22"/>
                <w:szCs w:val="22"/>
              </w:rPr>
            </w:pPr>
          </w:p>
          <w:p w14:paraId="69AA1F05" w14:textId="77777777" w:rsidR="00FE38DD" w:rsidRDefault="00FE38DD" w:rsidP="00A659E1">
            <w:pPr>
              <w:autoSpaceDE w:val="0"/>
              <w:autoSpaceDN w:val="0"/>
              <w:adjustRightInd w:val="0"/>
              <w:ind w:right="24"/>
              <w:rPr>
                <w:rFonts w:eastAsiaTheme="minorHAnsi"/>
                <w:sz w:val="22"/>
                <w:szCs w:val="22"/>
              </w:rPr>
            </w:pPr>
            <w:r w:rsidRPr="000B3B86">
              <w:rPr>
                <w:rFonts w:eastAsiaTheme="minorHAnsi"/>
                <w:sz w:val="22"/>
                <w:szCs w:val="22"/>
              </w:rPr>
              <w:t xml:space="preserve">Suarez, N. R. E., Urtecho, M., Jubran, S., Yeow, M. E., Wilson, M. E., Boehmer, K. R., &amp; Barwise, A. K. (2021, May). The Roles of medical interpreters in intensive care unit communication: A qualitative study. </w:t>
            </w:r>
            <w:r w:rsidRPr="000B3B86">
              <w:rPr>
                <w:rFonts w:eastAsiaTheme="minorHAnsi"/>
                <w:i/>
                <w:iCs/>
                <w:sz w:val="22"/>
                <w:szCs w:val="22"/>
              </w:rPr>
              <w:t>Patient Educ Couns, 104</w:t>
            </w:r>
            <w:r w:rsidRPr="000B3B86">
              <w:rPr>
                <w:rFonts w:eastAsiaTheme="minorHAnsi"/>
                <w:sz w:val="22"/>
                <w:szCs w:val="22"/>
              </w:rPr>
              <w:t xml:space="preserve">(5), 1100-1108. https://doi.org/10.1016/j.pec.2020.10.018 </w:t>
            </w:r>
          </w:p>
          <w:p w14:paraId="3E74F8AE" w14:textId="77777777" w:rsidR="00FE38DD" w:rsidRPr="00586AB8" w:rsidRDefault="00FE38DD" w:rsidP="00A659E1">
            <w:pPr>
              <w:autoSpaceDE w:val="0"/>
              <w:autoSpaceDN w:val="0"/>
              <w:adjustRightInd w:val="0"/>
              <w:ind w:right="24"/>
              <w:rPr>
                <w:rFonts w:eastAsiaTheme="minorHAnsi"/>
                <w:sz w:val="22"/>
                <w:szCs w:val="22"/>
              </w:rPr>
            </w:pPr>
          </w:p>
          <w:p w14:paraId="2874FA56" w14:textId="77777777" w:rsidR="00FE38DD" w:rsidRPr="008D70A3" w:rsidRDefault="00FE38DD" w:rsidP="00A659E1">
            <w:pPr>
              <w:autoSpaceDE w:val="0"/>
              <w:autoSpaceDN w:val="0"/>
              <w:adjustRightInd w:val="0"/>
              <w:ind w:right="-23"/>
              <w:rPr>
                <w:rFonts w:eastAsiaTheme="minorHAnsi"/>
                <w:sz w:val="22"/>
                <w:szCs w:val="22"/>
              </w:rPr>
            </w:pPr>
            <w:r w:rsidRPr="00586AB8">
              <w:rPr>
                <w:rFonts w:eastAsiaTheme="minorHAnsi"/>
                <w:sz w:val="22"/>
                <w:szCs w:val="22"/>
              </w:rPr>
              <w:t xml:space="preserve">Goldsmith, J., Wittenberg, E., Platt, C. S., Iannarino, N. T., &amp; Reno, J. (2016, Apr). Family caregiver communication in oncology: advancing a typology. </w:t>
            </w:r>
            <w:r w:rsidRPr="00586AB8">
              <w:rPr>
                <w:rFonts w:eastAsiaTheme="minorHAnsi"/>
                <w:i/>
                <w:iCs/>
                <w:sz w:val="22"/>
                <w:szCs w:val="22"/>
              </w:rPr>
              <w:lastRenderedPageBreak/>
              <w:t>Psychooncology, 25</w:t>
            </w:r>
            <w:r w:rsidRPr="00586AB8">
              <w:rPr>
                <w:rFonts w:eastAsiaTheme="minorHAnsi"/>
                <w:sz w:val="22"/>
                <w:szCs w:val="22"/>
              </w:rPr>
              <w:t xml:space="preserve">(4), 463-470. https://doi.org/10.1002/pon.3862 </w:t>
            </w:r>
          </w:p>
          <w:p w14:paraId="2AB487E4" w14:textId="77777777" w:rsidR="00FE38DD" w:rsidRPr="000B3B86" w:rsidRDefault="00FE38DD" w:rsidP="00A659E1">
            <w:pPr>
              <w:autoSpaceDE w:val="0"/>
              <w:autoSpaceDN w:val="0"/>
              <w:adjustRightInd w:val="0"/>
              <w:ind w:right="-720"/>
              <w:rPr>
                <w:rFonts w:eastAsiaTheme="minorHAnsi"/>
                <w:sz w:val="22"/>
                <w:szCs w:val="22"/>
              </w:rPr>
            </w:pPr>
          </w:p>
          <w:p w14:paraId="6ACDF6B7" w14:textId="77777777" w:rsidR="00FE38DD" w:rsidRPr="007E302B" w:rsidRDefault="00FE38DD" w:rsidP="00A659E1">
            <w:pPr>
              <w:autoSpaceDE w:val="0"/>
              <w:autoSpaceDN w:val="0"/>
              <w:adjustRightInd w:val="0"/>
              <w:ind w:right="-23"/>
              <w:rPr>
                <w:rFonts w:eastAsiaTheme="minorHAnsi"/>
                <w:sz w:val="22"/>
                <w:szCs w:val="22"/>
              </w:rPr>
            </w:pPr>
            <w:r w:rsidRPr="007E302B">
              <w:rPr>
                <w:rFonts w:eastAsiaTheme="minorHAnsi"/>
                <w:sz w:val="22"/>
                <w:szCs w:val="22"/>
              </w:rPr>
              <w:t xml:space="preserve">Benzein, E., Johansson, P., Arestedt, K. F., Berg, A., &amp; Saveman, B. I. (2008, Feb). Families' Importance in Nursing Care: Nurses' Attitudes--an instrument development. </w:t>
            </w:r>
            <w:r w:rsidRPr="007E302B">
              <w:rPr>
                <w:rFonts w:eastAsiaTheme="minorHAnsi"/>
                <w:i/>
                <w:iCs/>
                <w:sz w:val="22"/>
                <w:szCs w:val="22"/>
              </w:rPr>
              <w:t>J Fam Nurs, 14</w:t>
            </w:r>
            <w:r w:rsidRPr="007E302B">
              <w:rPr>
                <w:rFonts w:eastAsiaTheme="minorHAnsi"/>
                <w:sz w:val="22"/>
                <w:szCs w:val="22"/>
              </w:rPr>
              <w:t xml:space="preserve">(1), 97-117. https://doi.org/10.1177/1074840707312716 </w:t>
            </w:r>
          </w:p>
          <w:p w14:paraId="7A7EAFDB" w14:textId="77777777" w:rsidR="00FE38DD" w:rsidRPr="007E302B" w:rsidRDefault="00FE38DD" w:rsidP="00A659E1">
            <w:pPr>
              <w:autoSpaceDE w:val="0"/>
              <w:autoSpaceDN w:val="0"/>
              <w:adjustRightInd w:val="0"/>
              <w:ind w:right="-23"/>
              <w:rPr>
                <w:rFonts w:eastAsiaTheme="minorHAnsi"/>
                <w:sz w:val="22"/>
                <w:szCs w:val="22"/>
              </w:rPr>
            </w:pPr>
          </w:p>
          <w:p w14:paraId="692D5B9E" w14:textId="77777777" w:rsidR="00FE38DD" w:rsidRPr="00CD7156" w:rsidRDefault="00FE38DD" w:rsidP="00A659E1">
            <w:pPr>
              <w:autoSpaceDE w:val="0"/>
              <w:autoSpaceDN w:val="0"/>
              <w:adjustRightInd w:val="0"/>
              <w:rPr>
                <w:sz w:val="22"/>
                <w:szCs w:val="22"/>
              </w:rPr>
            </w:pPr>
            <w:r w:rsidRPr="00CD7156">
              <w:rPr>
                <w:sz w:val="22"/>
                <w:szCs w:val="22"/>
              </w:rPr>
              <w:t xml:space="preserve">Wittenberg, E., Kerr, A. M., &amp; Goldsmith, J. V. (2021, Oct). Family caregivers' perceived communication self-efficacy with physicians. </w:t>
            </w:r>
            <w:r w:rsidRPr="00CD7156">
              <w:rPr>
                <w:i/>
                <w:iCs/>
                <w:sz w:val="22"/>
                <w:szCs w:val="22"/>
              </w:rPr>
              <w:t>Palliat Support Care, 19</w:t>
            </w:r>
            <w:r w:rsidRPr="00CD7156">
              <w:rPr>
                <w:sz w:val="22"/>
                <w:szCs w:val="22"/>
              </w:rPr>
              <w:t xml:space="preserve">(5), 540-546. https://doi.org/10.1017/S1478951520001236 </w:t>
            </w:r>
          </w:p>
          <w:p w14:paraId="3B203CA1" w14:textId="77777777" w:rsidR="00FE38DD" w:rsidRDefault="00FE38DD" w:rsidP="00A659E1">
            <w:pPr>
              <w:rPr>
                <w:sz w:val="22"/>
                <w:szCs w:val="22"/>
              </w:rPr>
            </w:pPr>
          </w:p>
          <w:p w14:paraId="60A9EBAE" w14:textId="75A0DBD1" w:rsidR="00563373" w:rsidRPr="00642C21" w:rsidRDefault="00563373" w:rsidP="00A659E1">
            <w:pPr>
              <w:rPr>
                <w:sz w:val="22"/>
                <w:szCs w:val="22"/>
              </w:rPr>
            </w:pPr>
            <w:r w:rsidRPr="00642C21">
              <w:rPr>
                <w:sz w:val="22"/>
                <w:szCs w:val="22"/>
              </w:rPr>
              <w:t xml:space="preserve">Janice-Woods, R. D., &amp; Sharma, J. (2016). Delivering difficult news and improving family communication: simulation for neonatal-perinatal fellows. Mededportal : The Journal of Teaching and Learning Resources, 12, 10467–10467. </w:t>
            </w:r>
            <w:hyperlink r:id="rId10" w:history="1">
              <w:r w:rsidR="000813C6" w:rsidRPr="00642C21">
                <w:rPr>
                  <w:rStyle w:val="Hyperlink"/>
                  <w:sz w:val="22"/>
                  <w:szCs w:val="22"/>
                </w:rPr>
                <w:t>https://doi.org/10.15766/mep_2374-8265.10467</w:t>
              </w:r>
            </w:hyperlink>
          </w:p>
          <w:p w14:paraId="6B7E2BF0" w14:textId="77777777" w:rsidR="000813C6" w:rsidRPr="00642C21" w:rsidRDefault="000813C6" w:rsidP="00A659E1">
            <w:pPr>
              <w:rPr>
                <w:sz w:val="22"/>
                <w:szCs w:val="22"/>
              </w:rPr>
            </w:pPr>
          </w:p>
          <w:p w14:paraId="0C20AE5E" w14:textId="6AB28893" w:rsidR="000813C6" w:rsidRPr="000B3B86" w:rsidRDefault="000813C6" w:rsidP="00A659E1">
            <w:pPr>
              <w:rPr>
                <w:sz w:val="22"/>
                <w:szCs w:val="22"/>
              </w:rPr>
            </w:pPr>
            <w:r w:rsidRPr="00642C21">
              <w:rPr>
                <w:sz w:val="22"/>
                <w:szCs w:val="22"/>
              </w:rPr>
              <w:t>Rønning, S. B., &amp;amp; Bjørkly, S. (2019). The use of clinical role-play and reflection in learning therapeutic communication skills in mental health education: an integrative review. Advances in Medical Education and Practice, 10, 415–425. https://doi.org/10.2147/AMEP.S202115</w:t>
            </w:r>
          </w:p>
        </w:tc>
      </w:tr>
    </w:tbl>
    <w:p w14:paraId="6769BC8F" w14:textId="77777777" w:rsidR="00FE38DD" w:rsidRPr="00CE5BCF" w:rsidRDefault="00FE38DD" w:rsidP="00A659E1">
      <w:pPr>
        <w:rPr>
          <w:sz w:val="22"/>
          <w:szCs w:val="22"/>
        </w:rPr>
      </w:pPr>
      <w:r w:rsidRPr="00CE5BCF">
        <w:rPr>
          <w:sz w:val="22"/>
          <w:szCs w:val="22"/>
        </w:rPr>
        <w:lastRenderedPageBreak/>
        <w:t>*E=entry-level; A=advanced-level</w:t>
      </w:r>
    </w:p>
    <w:p w14:paraId="5E73B415" w14:textId="77777777" w:rsidR="00FE38DD" w:rsidRPr="006B34D4" w:rsidRDefault="00FE38DD" w:rsidP="00A659E1">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17D06651" w14:textId="77777777" w:rsidR="00FE38DD" w:rsidRDefault="00FE38DD" w:rsidP="00A659E1">
      <w:pPr>
        <w:rPr>
          <w:b/>
          <w:bCs/>
          <w:sz w:val="22"/>
          <w:szCs w:val="22"/>
        </w:rPr>
      </w:pPr>
    </w:p>
    <w:p w14:paraId="30F1FF5A" w14:textId="77777777" w:rsidR="00FE38DD" w:rsidRDefault="00FE38DD" w:rsidP="00A659E1">
      <w:pPr>
        <w:rPr>
          <w:b/>
          <w:bCs/>
          <w:sz w:val="22"/>
          <w:szCs w:val="22"/>
        </w:rPr>
      </w:pPr>
    </w:p>
    <w:p w14:paraId="4EDDF5F0" w14:textId="77777777" w:rsidR="00FE38DD" w:rsidRPr="00694FF4" w:rsidRDefault="00FE38DD" w:rsidP="00A659E1">
      <w:pPr>
        <w:rPr>
          <w:b/>
          <w:bCs/>
          <w:sz w:val="22"/>
          <w:szCs w:val="22"/>
        </w:rPr>
      </w:pPr>
      <w:r>
        <w:rPr>
          <w:b/>
          <w:bCs/>
          <w:sz w:val="22"/>
          <w:szCs w:val="22"/>
        </w:rPr>
        <w:t>Domain 3. Population Health</w:t>
      </w:r>
    </w:p>
    <w:tbl>
      <w:tblPr>
        <w:tblStyle w:val="TableGrid"/>
        <w:tblW w:w="14395" w:type="dxa"/>
        <w:tblLook w:val="04A0" w:firstRow="1" w:lastRow="0" w:firstColumn="1" w:lastColumn="0" w:noHBand="0" w:noVBand="1"/>
      </w:tblPr>
      <w:tblGrid>
        <w:gridCol w:w="2411"/>
        <w:gridCol w:w="4334"/>
        <w:gridCol w:w="2790"/>
        <w:gridCol w:w="4860"/>
      </w:tblGrid>
      <w:tr w:rsidR="00FE38DD" w:rsidRPr="00221A1B" w14:paraId="626AC4D5" w14:textId="77777777" w:rsidTr="00A659E1">
        <w:tc>
          <w:tcPr>
            <w:tcW w:w="14395" w:type="dxa"/>
            <w:gridSpan w:val="4"/>
            <w:tcBorders>
              <w:bottom w:val="single" w:sz="4" w:space="0" w:color="auto"/>
            </w:tcBorders>
            <w:shd w:val="clear" w:color="auto" w:fill="D9D9D9" w:themeFill="background1" w:themeFillShade="D9"/>
          </w:tcPr>
          <w:p w14:paraId="3430D4A6" w14:textId="77777777" w:rsidR="00FE38DD" w:rsidRDefault="00FE38DD" w:rsidP="00A659E1">
            <w:pPr>
              <w:rPr>
                <w:b/>
                <w:bCs/>
                <w:sz w:val="22"/>
                <w:szCs w:val="22"/>
              </w:rPr>
            </w:pPr>
            <w:r w:rsidRPr="001521E2">
              <w:rPr>
                <w:b/>
                <w:bCs/>
                <w:sz w:val="22"/>
                <w:szCs w:val="22"/>
              </w:rPr>
              <w:t>3.2 Engage in effective partnerships.</w:t>
            </w:r>
          </w:p>
          <w:p w14:paraId="505AC3B0" w14:textId="77777777" w:rsidR="00FE38DD" w:rsidRDefault="00FE38DD" w:rsidP="00A659E1">
            <w:pPr>
              <w:ind w:left="337"/>
              <w:rPr>
                <w:sz w:val="22"/>
                <w:szCs w:val="22"/>
              </w:rPr>
            </w:pPr>
            <w:r>
              <w:rPr>
                <w:sz w:val="22"/>
                <w:szCs w:val="22"/>
              </w:rPr>
              <w:t>3.2c Use culturally and linguistically responsive communication strategies (E)</w:t>
            </w:r>
          </w:p>
          <w:p w14:paraId="4512198B" w14:textId="77777777" w:rsidR="00FE38DD" w:rsidRPr="00694FF4" w:rsidRDefault="00FE38DD" w:rsidP="00A659E1">
            <w:pPr>
              <w:ind w:left="337"/>
              <w:rPr>
                <w:sz w:val="22"/>
                <w:szCs w:val="22"/>
              </w:rPr>
            </w:pPr>
            <w:r>
              <w:rPr>
                <w:sz w:val="22"/>
                <w:szCs w:val="22"/>
              </w:rPr>
              <w:t>3.2e Challenge biases and barriers that impact population health outcomes (A)</w:t>
            </w:r>
          </w:p>
        </w:tc>
      </w:tr>
      <w:tr w:rsidR="00FE38DD" w:rsidRPr="00221A1B" w14:paraId="24172DD4" w14:textId="77777777" w:rsidTr="00A659E1">
        <w:tc>
          <w:tcPr>
            <w:tcW w:w="2411" w:type="dxa"/>
          </w:tcPr>
          <w:p w14:paraId="350E0954" w14:textId="77777777" w:rsidR="00FE38DD" w:rsidRPr="00694FF4" w:rsidRDefault="00FE38DD" w:rsidP="00A659E1">
            <w:pPr>
              <w:rPr>
                <w:sz w:val="22"/>
                <w:szCs w:val="22"/>
              </w:rPr>
            </w:pPr>
            <w:r w:rsidRPr="00221A1B">
              <w:rPr>
                <w:b/>
                <w:bCs/>
                <w:sz w:val="22"/>
                <w:szCs w:val="22"/>
              </w:rPr>
              <w:t>Recommended Content</w:t>
            </w:r>
          </w:p>
        </w:tc>
        <w:tc>
          <w:tcPr>
            <w:tcW w:w="4334" w:type="dxa"/>
          </w:tcPr>
          <w:p w14:paraId="7688AF35" w14:textId="77777777" w:rsidR="00FE38DD" w:rsidRPr="00694FF4" w:rsidRDefault="00FE38DD" w:rsidP="00A659E1">
            <w:pPr>
              <w:rPr>
                <w:sz w:val="22"/>
                <w:szCs w:val="22"/>
              </w:rPr>
            </w:pPr>
            <w:r w:rsidRPr="00221A1B">
              <w:rPr>
                <w:b/>
                <w:bCs/>
                <w:sz w:val="22"/>
                <w:szCs w:val="22"/>
              </w:rPr>
              <w:t>Learning Strategies</w:t>
            </w:r>
          </w:p>
        </w:tc>
        <w:tc>
          <w:tcPr>
            <w:tcW w:w="2790" w:type="dxa"/>
          </w:tcPr>
          <w:p w14:paraId="74B68055" w14:textId="77777777" w:rsidR="00FE38DD" w:rsidRPr="00694FF4" w:rsidRDefault="00FE38DD" w:rsidP="00A659E1">
            <w:pPr>
              <w:rPr>
                <w:sz w:val="22"/>
                <w:szCs w:val="22"/>
              </w:rPr>
            </w:pPr>
            <w:r w:rsidRPr="00221A1B">
              <w:rPr>
                <w:b/>
                <w:bCs/>
                <w:sz w:val="22"/>
                <w:szCs w:val="22"/>
              </w:rPr>
              <w:t>Assessment</w:t>
            </w:r>
          </w:p>
        </w:tc>
        <w:tc>
          <w:tcPr>
            <w:tcW w:w="4860" w:type="dxa"/>
          </w:tcPr>
          <w:p w14:paraId="1866354B" w14:textId="77777777" w:rsidR="00FE38DD" w:rsidRDefault="00FE38DD" w:rsidP="00A659E1">
            <w:pPr>
              <w:rPr>
                <w:sz w:val="22"/>
                <w:szCs w:val="22"/>
              </w:rPr>
            </w:pPr>
            <w:r w:rsidRPr="00221A1B">
              <w:rPr>
                <w:b/>
                <w:bCs/>
                <w:sz w:val="22"/>
                <w:szCs w:val="22"/>
              </w:rPr>
              <w:t>Resources</w:t>
            </w:r>
            <w:r>
              <w:rPr>
                <w:b/>
                <w:bCs/>
                <w:sz w:val="22"/>
                <w:szCs w:val="22"/>
              </w:rPr>
              <w:t xml:space="preserve"> and References</w:t>
            </w:r>
          </w:p>
        </w:tc>
      </w:tr>
      <w:tr w:rsidR="00FE38DD" w:rsidRPr="00221A1B" w14:paraId="313EEA7C" w14:textId="77777777" w:rsidTr="00A659E1">
        <w:tc>
          <w:tcPr>
            <w:tcW w:w="2411" w:type="dxa"/>
          </w:tcPr>
          <w:p w14:paraId="2845DE9B" w14:textId="77777777" w:rsidR="00FE38DD" w:rsidRPr="003B215D" w:rsidRDefault="00FE38DD" w:rsidP="00A659E1">
            <w:pPr>
              <w:pStyle w:val="ListParagraph"/>
              <w:numPr>
                <w:ilvl w:val="0"/>
                <w:numId w:val="4"/>
              </w:numPr>
              <w:rPr>
                <w:rFonts w:ascii="Times New Roman" w:hAnsi="Times New Roman" w:cs="Times New Roman"/>
                <w:sz w:val="22"/>
                <w:szCs w:val="22"/>
              </w:rPr>
            </w:pPr>
            <w:r w:rsidRPr="003B215D">
              <w:rPr>
                <w:rFonts w:ascii="Times New Roman" w:hAnsi="Times New Roman" w:cs="Times New Roman"/>
                <w:sz w:val="22"/>
                <w:szCs w:val="22"/>
              </w:rPr>
              <w:t>Cultural humility</w:t>
            </w:r>
            <w:r>
              <w:rPr>
                <w:rFonts w:ascii="Times New Roman" w:hAnsi="Times New Roman" w:cs="Times New Roman"/>
                <w:sz w:val="22"/>
                <w:szCs w:val="22"/>
                <w:vertAlign w:val="superscript"/>
              </w:rPr>
              <w:t xml:space="preserve"> a,s,k</w:t>
            </w:r>
          </w:p>
          <w:p w14:paraId="1B79A9D1" w14:textId="77777777" w:rsidR="00FE38DD" w:rsidRPr="00221A1B" w:rsidRDefault="00FE38DD" w:rsidP="00A659E1">
            <w:pPr>
              <w:pStyle w:val="ListParagraph"/>
              <w:numPr>
                <w:ilvl w:val="0"/>
                <w:numId w:val="3"/>
              </w:numPr>
              <w:rPr>
                <w:rFonts w:ascii="Times New Roman" w:hAnsi="Times New Roman" w:cs="Times New Roman"/>
                <w:sz w:val="22"/>
                <w:szCs w:val="22"/>
              </w:rPr>
            </w:pPr>
            <w:r w:rsidRPr="003B215D">
              <w:rPr>
                <w:rFonts w:ascii="Times New Roman" w:hAnsi="Times New Roman" w:cs="Times New Roman"/>
                <w:sz w:val="22"/>
                <w:szCs w:val="22"/>
              </w:rPr>
              <w:t>Health literacy</w:t>
            </w:r>
            <w:r>
              <w:rPr>
                <w:rFonts w:ascii="Times New Roman" w:hAnsi="Times New Roman" w:cs="Times New Roman"/>
                <w:sz w:val="22"/>
                <w:szCs w:val="22"/>
              </w:rPr>
              <w:t xml:space="preserve"> </w:t>
            </w:r>
            <w:r>
              <w:rPr>
                <w:rFonts w:ascii="Times New Roman" w:hAnsi="Times New Roman" w:cs="Times New Roman"/>
                <w:sz w:val="22"/>
                <w:szCs w:val="22"/>
                <w:vertAlign w:val="superscript"/>
              </w:rPr>
              <w:t>a,s,k</w:t>
            </w:r>
          </w:p>
        </w:tc>
        <w:tc>
          <w:tcPr>
            <w:tcW w:w="4334" w:type="dxa"/>
          </w:tcPr>
          <w:p w14:paraId="257471AC" w14:textId="77777777" w:rsidR="00FE38DD" w:rsidRDefault="00FE38DD" w:rsidP="00A659E1">
            <w:pPr>
              <w:pStyle w:val="ListParagraph"/>
              <w:ind w:left="0"/>
              <w:rPr>
                <w:rFonts w:ascii="Times New Roman" w:hAnsi="Times New Roman" w:cs="Times New Roman"/>
                <w:b/>
                <w:bCs/>
                <w:color w:val="FF0000"/>
                <w:sz w:val="22"/>
                <w:szCs w:val="22"/>
              </w:rPr>
            </w:pPr>
            <w:r w:rsidRPr="00DA4679">
              <w:rPr>
                <w:rFonts w:ascii="Times New Roman" w:hAnsi="Times New Roman" w:cs="Times New Roman"/>
                <w:b/>
                <w:bCs/>
                <w:color w:val="FF0000"/>
                <w:sz w:val="22"/>
                <w:szCs w:val="22"/>
              </w:rPr>
              <w:t>Entry Level:</w:t>
            </w:r>
          </w:p>
          <w:p w14:paraId="7F39968B" w14:textId="77777777" w:rsidR="00FE38DD" w:rsidRDefault="00FE38DD" w:rsidP="00A659E1">
            <w:pPr>
              <w:pStyle w:val="ListParagraph"/>
              <w:ind w:left="0"/>
              <w:rPr>
                <w:rFonts w:ascii="Times New Roman" w:hAnsi="Times New Roman" w:cs="Times New Roman"/>
                <w:color w:val="000000" w:themeColor="text1"/>
                <w:sz w:val="22"/>
                <w:szCs w:val="22"/>
              </w:rPr>
            </w:pPr>
          </w:p>
          <w:p w14:paraId="5F514223" w14:textId="77777777" w:rsidR="00FE38DD" w:rsidRDefault="00FE38DD" w:rsidP="00A659E1">
            <w:pPr>
              <w:rPr>
                <w:color w:val="000000" w:themeColor="text1"/>
                <w:sz w:val="22"/>
                <w:szCs w:val="22"/>
              </w:rPr>
            </w:pPr>
            <w:r>
              <w:rPr>
                <w:color w:val="000000" w:themeColor="text1"/>
                <w:sz w:val="22"/>
                <w:szCs w:val="22"/>
              </w:rPr>
              <w:lastRenderedPageBreak/>
              <w:t>-Introduce health literacy as a concept and multi-variable models that situation the provider/nurse as a central domain</w:t>
            </w:r>
          </w:p>
          <w:p w14:paraId="4B632B6E" w14:textId="77777777" w:rsidR="00FE38DD" w:rsidRDefault="00FE38DD" w:rsidP="00A659E1">
            <w:pPr>
              <w:rPr>
                <w:color w:val="000000" w:themeColor="text1"/>
                <w:sz w:val="22"/>
                <w:szCs w:val="22"/>
              </w:rPr>
            </w:pPr>
          </w:p>
          <w:p w14:paraId="3685F853" w14:textId="77777777" w:rsidR="00FE38DD" w:rsidRDefault="00FE38DD" w:rsidP="00A659E1">
            <w:pPr>
              <w:rPr>
                <w:color w:val="000000" w:themeColor="text1"/>
                <w:sz w:val="22"/>
                <w:szCs w:val="22"/>
              </w:rPr>
            </w:pPr>
            <w:r>
              <w:rPr>
                <w:color w:val="000000" w:themeColor="text1"/>
                <w:sz w:val="22"/>
                <w:szCs w:val="22"/>
              </w:rPr>
              <w:t>-Engage students in small groups to define terms including culture, cultural difference, cultural competency, and cultural humility</w:t>
            </w:r>
          </w:p>
          <w:p w14:paraId="4C944811" w14:textId="77777777" w:rsidR="00FE38DD" w:rsidRDefault="00FE38DD" w:rsidP="00A659E1">
            <w:pPr>
              <w:rPr>
                <w:color w:val="000000" w:themeColor="text1"/>
                <w:sz w:val="22"/>
                <w:szCs w:val="22"/>
              </w:rPr>
            </w:pPr>
          </w:p>
          <w:p w14:paraId="6F9D8BB0" w14:textId="77777777" w:rsidR="00FE38DD" w:rsidRDefault="00FE38DD" w:rsidP="00A659E1">
            <w:pPr>
              <w:rPr>
                <w:color w:val="000000" w:themeColor="text1"/>
                <w:sz w:val="22"/>
                <w:szCs w:val="22"/>
              </w:rPr>
            </w:pPr>
            <w:r>
              <w:rPr>
                <w:color w:val="000000" w:themeColor="text1"/>
                <w:sz w:val="22"/>
                <w:szCs w:val="22"/>
              </w:rPr>
              <w:t>-Students will work in pairs to build a list of ideas, prompts or questions to impact health literacy pathways for patients and caregivers</w:t>
            </w:r>
          </w:p>
          <w:p w14:paraId="0A04E523" w14:textId="77777777" w:rsidR="00FE38DD" w:rsidRDefault="00FE38DD" w:rsidP="00A659E1">
            <w:pPr>
              <w:rPr>
                <w:color w:val="000000" w:themeColor="text1"/>
                <w:sz w:val="22"/>
                <w:szCs w:val="22"/>
              </w:rPr>
            </w:pPr>
          </w:p>
          <w:p w14:paraId="78D72F7A" w14:textId="77777777" w:rsidR="00FE38DD" w:rsidRDefault="00FE38DD" w:rsidP="00A659E1">
            <w:pPr>
              <w:rPr>
                <w:color w:val="000000" w:themeColor="text1"/>
                <w:sz w:val="22"/>
                <w:szCs w:val="22"/>
              </w:rPr>
            </w:pPr>
            <w:r>
              <w:rPr>
                <w:color w:val="000000" w:themeColor="text1"/>
                <w:sz w:val="22"/>
                <w:szCs w:val="22"/>
              </w:rPr>
              <w:t>-Play a game with plain language</w:t>
            </w:r>
          </w:p>
          <w:p w14:paraId="72454B43" w14:textId="77777777" w:rsidR="00FE38DD" w:rsidRPr="00DA4679" w:rsidRDefault="00FE38DD" w:rsidP="00A659E1">
            <w:pPr>
              <w:rPr>
                <w:sz w:val="22"/>
                <w:szCs w:val="22"/>
              </w:rPr>
            </w:pPr>
          </w:p>
          <w:p w14:paraId="67653190" w14:textId="77777777" w:rsidR="00FE38DD" w:rsidRDefault="00FE38DD" w:rsidP="00A659E1">
            <w:pPr>
              <w:pStyle w:val="ListParagraph"/>
              <w:ind w:left="0"/>
              <w:rPr>
                <w:rFonts w:ascii="Times New Roman" w:hAnsi="Times New Roman" w:cs="Times New Roman"/>
                <w:b/>
                <w:bCs/>
                <w:color w:val="FF0000"/>
                <w:sz w:val="22"/>
                <w:szCs w:val="22"/>
              </w:rPr>
            </w:pPr>
            <w:r w:rsidRPr="00DA4679">
              <w:rPr>
                <w:rFonts w:ascii="Times New Roman" w:hAnsi="Times New Roman" w:cs="Times New Roman"/>
                <w:b/>
                <w:bCs/>
                <w:color w:val="FF0000"/>
                <w:sz w:val="22"/>
                <w:szCs w:val="22"/>
              </w:rPr>
              <w:t>Advanced:</w:t>
            </w:r>
          </w:p>
          <w:p w14:paraId="302B54A1" w14:textId="77777777" w:rsidR="00FE38DD" w:rsidRDefault="00FE38DD" w:rsidP="00A659E1">
            <w:pPr>
              <w:pStyle w:val="ListParagraph"/>
              <w:ind w:left="0"/>
              <w:rPr>
                <w:rFonts w:ascii="Times New Roman" w:hAnsi="Times New Roman" w:cs="Times New Roman"/>
                <w:color w:val="000000" w:themeColor="text1"/>
                <w:sz w:val="22"/>
                <w:szCs w:val="22"/>
              </w:rPr>
            </w:pPr>
          </w:p>
          <w:p w14:paraId="095A6CDF" w14:textId="77777777" w:rsidR="00FE38DD" w:rsidRDefault="00FE38DD" w:rsidP="00A659E1">
            <w:pPr>
              <w:pStyle w:val="ListParagraph"/>
              <w:ind w:left="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-Distribute 10 attributes of a health literate organization and have students create structures for a fictive care organization to implement. Each small group will take 1 of the 10 attributes.</w:t>
            </w:r>
          </w:p>
          <w:p w14:paraId="6D0F6C51" w14:textId="77777777" w:rsidR="00FE38DD" w:rsidRDefault="00FE38DD" w:rsidP="00A659E1">
            <w:pPr>
              <w:pStyle w:val="ListParagraph"/>
              <w:ind w:left="0"/>
              <w:rPr>
                <w:rFonts w:ascii="Times New Roman" w:hAnsi="Times New Roman" w:cs="Times New Roman"/>
                <w:color w:val="000000" w:themeColor="text1"/>
                <w:sz w:val="22"/>
                <w:szCs w:val="22"/>
              </w:rPr>
            </w:pPr>
          </w:p>
          <w:p w14:paraId="03BB604E" w14:textId="77777777" w:rsidR="00FE38DD" w:rsidRDefault="00FE38DD" w:rsidP="00A659E1">
            <w:pPr>
              <w:pStyle w:val="ListParagraph"/>
              <w:ind w:left="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-Students will write a reflective paper exploring their experience of self-reflection and awareness---concepts central to cultural humility. </w:t>
            </w:r>
          </w:p>
          <w:p w14:paraId="466A53FF" w14:textId="77777777" w:rsidR="00FE38DD" w:rsidRDefault="00FE38DD" w:rsidP="00A659E1">
            <w:pPr>
              <w:pStyle w:val="ListParagraph"/>
              <w:ind w:left="0"/>
              <w:rPr>
                <w:rFonts w:ascii="Times New Roman" w:hAnsi="Times New Roman" w:cs="Times New Roman"/>
                <w:color w:val="000000" w:themeColor="text1"/>
                <w:sz w:val="22"/>
                <w:szCs w:val="22"/>
              </w:rPr>
            </w:pPr>
          </w:p>
          <w:p w14:paraId="5BB99545" w14:textId="1AEA91C3" w:rsidR="00F56C66" w:rsidRDefault="00FE38DD" w:rsidP="00F56C66">
            <w:pPr>
              <w:rPr>
                <w:color w:val="000000" w:themeColor="text1"/>
                <w:sz w:val="22"/>
                <w:szCs w:val="22"/>
              </w:rPr>
            </w:pPr>
            <w:r>
              <w:rPr>
                <w:color w:val="000000" w:themeColor="text1"/>
                <w:sz w:val="22"/>
                <w:szCs w:val="22"/>
              </w:rPr>
              <w:t>-Plain language role play—explaining a procedure</w:t>
            </w:r>
          </w:p>
          <w:p w14:paraId="33E6A17C" w14:textId="77777777" w:rsidR="00243194" w:rsidRDefault="00243194" w:rsidP="00F56C66">
            <w:pPr>
              <w:rPr>
                <w:color w:val="000000" w:themeColor="text1"/>
                <w:sz w:val="22"/>
                <w:szCs w:val="22"/>
              </w:rPr>
            </w:pPr>
          </w:p>
          <w:p w14:paraId="7825384C" w14:textId="6B72417C" w:rsidR="00F56C66" w:rsidRPr="00F56C66" w:rsidRDefault="00F56C66" w:rsidP="00F56C66">
            <w:pPr>
              <w:rPr>
                <w:color w:val="000000" w:themeColor="text1"/>
                <w:sz w:val="22"/>
                <w:szCs w:val="22"/>
              </w:rPr>
            </w:pPr>
            <w:r w:rsidRPr="00642C21">
              <w:rPr>
                <w:sz w:val="22"/>
                <w:szCs w:val="22"/>
              </w:rPr>
              <w:t>-Use technology to</w:t>
            </w:r>
            <w:r w:rsidR="00C44866" w:rsidRPr="00642C21">
              <w:rPr>
                <w:sz w:val="22"/>
                <w:szCs w:val="22"/>
              </w:rPr>
              <w:t xml:space="preserve"> </w:t>
            </w:r>
            <w:r w:rsidR="008F4AD0" w:rsidRPr="00642C21">
              <w:rPr>
                <w:sz w:val="22"/>
                <w:szCs w:val="22"/>
              </w:rPr>
              <w:t xml:space="preserve">advance and communicate </w:t>
            </w:r>
            <w:r w:rsidR="00243194" w:rsidRPr="00642C21">
              <w:rPr>
                <w:sz w:val="22"/>
                <w:szCs w:val="22"/>
              </w:rPr>
              <w:t>health literacy</w:t>
            </w:r>
            <w:r w:rsidR="00A2096E" w:rsidRPr="00642C21">
              <w:rPr>
                <w:sz w:val="22"/>
                <w:szCs w:val="22"/>
              </w:rPr>
              <w:t xml:space="preserve"> and cultural humility concepts.</w:t>
            </w:r>
            <w:r w:rsidR="00A2096E">
              <w:rPr>
                <w:sz w:val="22"/>
                <w:szCs w:val="22"/>
              </w:rPr>
              <w:t xml:space="preserve"> </w:t>
            </w:r>
          </w:p>
        </w:tc>
        <w:tc>
          <w:tcPr>
            <w:tcW w:w="2790" w:type="dxa"/>
          </w:tcPr>
          <w:p w14:paraId="46EDB392" w14:textId="77777777" w:rsidR="00FE38DD" w:rsidRPr="00CF400C" w:rsidRDefault="00FE38DD" w:rsidP="00A659E1">
            <w:pPr>
              <w:rPr>
                <w:sz w:val="22"/>
                <w:szCs w:val="22"/>
              </w:rPr>
            </w:pPr>
          </w:p>
        </w:tc>
        <w:tc>
          <w:tcPr>
            <w:tcW w:w="4860" w:type="dxa"/>
          </w:tcPr>
          <w:p w14:paraId="280EBA89" w14:textId="77777777" w:rsidR="00FE38DD" w:rsidRPr="00DC078C" w:rsidRDefault="00FE38DD" w:rsidP="00A659E1">
            <w:pPr>
              <w:autoSpaceDE w:val="0"/>
              <w:autoSpaceDN w:val="0"/>
              <w:adjustRightInd w:val="0"/>
              <w:ind w:left="27" w:right="24"/>
              <w:rPr>
                <w:rFonts w:eastAsiaTheme="minorHAnsi"/>
                <w:sz w:val="22"/>
                <w:szCs w:val="22"/>
              </w:rPr>
            </w:pPr>
            <w:r w:rsidRPr="00DC078C">
              <w:rPr>
                <w:rFonts w:eastAsiaTheme="minorHAnsi"/>
                <w:sz w:val="22"/>
                <w:szCs w:val="22"/>
              </w:rPr>
              <w:t xml:space="preserve">Choi, S., &amp; Choi, J. (2021, Dec). Effects of the teach-back method among cancer patients: a systematic review of the literature. </w:t>
            </w:r>
            <w:r w:rsidRPr="00DC078C">
              <w:rPr>
                <w:rFonts w:eastAsiaTheme="minorHAnsi"/>
                <w:i/>
                <w:iCs/>
                <w:sz w:val="22"/>
                <w:szCs w:val="22"/>
              </w:rPr>
              <w:t>Support Care Cancer, 29</w:t>
            </w:r>
            <w:r w:rsidRPr="00DC078C">
              <w:rPr>
                <w:rFonts w:eastAsiaTheme="minorHAnsi"/>
                <w:sz w:val="22"/>
                <w:szCs w:val="22"/>
              </w:rPr>
              <w:t>(12), 7259-7268.</w:t>
            </w:r>
          </w:p>
          <w:p w14:paraId="5816F315" w14:textId="77777777" w:rsidR="00FE38DD" w:rsidRDefault="00FE38DD" w:rsidP="00A659E1">
            <w:pPr>
              <w:autoSpaceDE w:val="0"/>
              <w:autoSpaceDN w:val="0"/>
              <w:adjustRightInd w:val="0"/>
              <w:ind w:right="24"/>
              <w:rPr>
                <w:rFonts w:eastAsiaTheme="minorHAnsi"/>
                <w:sz w:val="22"/>
                <w:szCs w:val="22"/>
              </w:rPr>
            </w:pPr>
          </w:p>
          <w:p w14:paraId="03785A41" w14:textId="77777777" w:rsidR="00FE38DD" w:rsidRDefault="00FE38DD" w:rsidP="00A659E1">
            <w:pPr>
              <w:autoSpaceDE w:val="0"/>
              <w:autoSpaceDN w:val="0"/>
              <w:adjustRightInd w:val="0"/>
              <w:rPr>
                <w:rStyle w:val="markedcontent"/>
                <w:sz w:val="22"/>
                <w:szCs w:val="22"/>
              </w:rPr>
            </w:pPr>
            <w:r w:rsidRPr="00EC483E">
              <w:rPr>
                <w:rStyle w:val="markedcontent"/>
                <w:sz w:val="22"/>
                <w:szCs w:val="22"/>
              </w:rPr>
              <w:t>Goldsmith, J. V., Wittenberg, E., &amp; Parnell, T. A. (2020, Jun). The COMFORT Communication Model:</w:t>
            </w:r>
            <w:r>
              <w:rPr>
                <w:rStyle w:val="markedcontent"/>
                <w:sz w:val="22"/>
                <w:szCs w:val="22"/>
              </w:rPr>
              <w:t xml:space="preserve"> </w:t>
            </w:r>
            <w:r w:rsidRPr="00EC483E">
              <w:rPr>
                <w:rStyle w:val="markedcontent"/>
                <w:sz w:val="22"/>
                <w:szCs w:val="22"/>
              </w:rPr>
              <w:t xml:space="preserve">A Nursing Resource to Advance Health Literacy in Organizations. </w:t>
            </w:r>
            <w:r w:rsidRPr="009A7605">
              <w:rPr>
                <w:rStyle w:val="markedcontent"/>
                <w:i/>
                <w:iCs/>
                <w:sz w:val="22"/>
                <w:szCs w:val="22"/>
              </w:rPr>
              <w:t>Journal of Hospice &amp;</w:t>
            </w:r>
            <w:r>
              <w:rPr>
                <w:rStyle w:val="markedcontent"/>
                <w:i/>
                <w:iCs/>
                <w:sz w:val="22"/>
                <w:szCs w:val="22"/>
              </w:rPr>
              <w:t xml:space="preserve"> </w:t>
            </w:r>
            <w:r w:rsidRPr="009A7605">
              <w:rPr>
                <w:rStyle w:val="markedcontent"/>
                <w:i/>
                <w:iCs/>
                <w:sz w:val="22"/>
                <w:szCs w:val="22"/>
              </w:rPr>
              <w:t>Palliative Nursing, 22(3),</w:t>
            </w:r>
            <w:r w:rsidRPr="00EC483E">
              <w:rPr>
                <w:rStyle w:val="markedcontent"/>
                <w:sz w:val="22"/>
                <w:szCs w:val="22"/>
              </w:rPr>
              <w:t xml:space="preserve"> 229-237.</w:t>
            </w:r>
          </w:p>
          <w:p w14:paraId="3B2B1920" w14:textId="77777777" w:rsidR="00FE38DD" w:rsidRDefault="00FE38DD" w:rsidP="00A659E1">
            <w:pPr>
              <w:rPr>
                <w:sz w:val="22"/>
                <w:szCs w:val="22"/>
              </w:rPr>
            </w:pPr>
          </w:p>
          <w:p w14:paraId="7F6FAC39" w14:textId="77777777" w:rsidR="00FE38DD" w:rsidRPr="005107DB" w:rsidRDefault="00FE38DD" w:rsidP="00A659E1">
            <w:pPr>
              <w:autoSpaceDE w:val="0"/>
              <w:autoSpaceDN w:val="0"/>
              <w:adjustRightInd w:val="0"/>
              <w:ind w:right="-12"/>
              <w:rPr>
                <w:rFonts w:eastAsiaTheme="minorHAnsi"/>
                <w:sz w:val="22"/>
                <w:szCs w:val="22"/>
              </w:rPr>
            </w:pPr>
            <w:r w:rsidRPr="005107DB">
              <w:rPr>
                <w:rFonts w:eastAsiaTheme="minorHAnsi"/>
                <w:sz w:val="22"/>
                <w:szCs w:val="22"/>
              </w:rPr>
              <w:t xml:space="preserve">Wright, R., Baptiste, D. L., Booth, A., Addison, H., Abshire, M., Alvarez, D., Barrett, M., Hansen, B., Jenkins, E., Scarborough, S., Wright, E., Davidson, P. M., &amp; Ramsey, G. C. (2021, Sep-Oct 01). Compelling Voices of Diversity, Equity, and Inclusion in Prelicensure Nursing Students: Application of the Cultural Humility Framework. </w:t>
            </w:r>
            <w:r w:rsidRPr="005107DB">
              <w:rPr>
                <w:rFonts w:eastAsiaTheme="minorHAnsi"/>
                <w:i/>
                <w:iCs/>
                <w:sz w:val="22"/>
                <w:szCs w:val="22"/>
              </w:rPr>
              <w:t>Nurse Educ, 46</w:t>
            </w:r>
            <w:r w:rsidRPr="005107DB">
              <w:rPr>
                <w:rFonts w:eastAsiaTheme="minorHAnsi"/>
                <w:sz w:val="22"/>
                <w:szCs w:val="22"/>
              </w:rPr>
              <w:t>(5), E90-E94.</w:t>
            </w:r>
          </w:p>
          <w:p w14:paraId="7A2F1179" w14:textId="77777777" w:rsidR="00FE38DD" w:rsidRPr="005107DB" w:rsidRDefault="00FE38DD" w:rsidP="00A659E1">
            <w:pPr>
              <w:autoSpaceDE w:val="0"/>
              <w:autoSpaceDN w:val="0"/>
              <w:adjustRightInd w:val="0"/>
              <w:ind w:left="52" w:right="-12" w:hanging="52"/>
              <w:rPr>
                <w:rFonts w:eastAsiaTheme="minorHAnsi"/>
                <w:sz w:val="22"/>
                <w:szCs w:val="22"/>
              </w:rPr>
            </w:pPr>
          </w:p>
          <w:p w14:paraId="7ABE3814" w14:textId="77777777" w:rsidR="00FE38DD" w:rsidRDefault="00FE38DD" w:rsidP="00A659E1">
            <w:pPr>
              <w:autoSpaceDE w:val="0"/>
              <w:autoSpaceDN w:val="0"/>
              <w:adjustRightInd w:val="0"/>
              <w:ind w:left="14" w:hanging="14"/>
              <w:rPr>
                <w:rFonts w:eastAsiaTheme="minorHAnsi"/>
                <w:sz w:val="22"/>
                <w:szCs w:val="22"/>
              </w:rPr>
            </w:pPr>
            <w:r w:rsidRPr="005914EC">
              <w:rPr>
                <w:rFonts w:eastAsiaTheme="minorHAnsi"/>
                <w:sz w:val="22"/>
                <w:szCs w:val="22"/>
              </w:rPr>
              <w:t xml:space="preserve">Smith, A., &amp; Foronda, C. (2021, Mar-Apr 01). Promoting Cultural Humility in Nursing Education Through the Use of Ground Rules. </w:t>
            </w:r>
            <w:r w:rsidRPr="005914EC">
              <w:rPr>
                <w:rFonts w:eastAsiaTheme="minorHAnsi"/>
                <w:i/>
                <w:iCs/>
                <w:sz w:val="22"/>
                <w:szCs w:val="22"/>
              </w:rPr>
              <w:t>Nurs Educ Perspect, 42</w:t>
            </w:r>
            <w:r w:rsidRPr="005914EC">
              <w:rPr>
                <w:rFonts w:eastAsiaTheme="minorHAnsi"/>
                <w:sz w:val="22"/>
                <w:szCs w:val="22"/>
              </w:rPr>
              <w:t>(2), 117-119.</w:t>
            </w:r>
          </w:p>
          <w:p w14:paraId="6E7A5179" w14:textId="77777777" w:rsidR="00FE38DD" w:rsidRDefault="00FE38DD" w:rsidP="00A659E1">
            <w:pPr>
              <w:autoSpaceDE w:val="0"/>
              <w:autoSpaceDN w:val="0"/>
              <w:adjustRightInd w:val="0"/>
              <w:ind w:left="14" w:hanging="14"/>
              <w:rPr>
                <w:rFonts w:eastAsiaTheme="minorHAnsi"/>
                <w:sz w:val="22"/>
                <w:szCs w:val="22"/>
              </w:rPr>
            </w:pPr>
          </w:p>
          <w:p w14:paraId="659472AF" w14:textId="77777777" w:rsidR="00FE38DD" w:rsidRPr="00F9303B" w:rsidRDefault="00FE38DD" w:rsidP="00A659E1">
            <w:pPr>
              <w:autoSpaceDE w:val="0"/>
              <w:autoSpaceDN w:val="0"/>
              <w:adjustRightInd w:val="0"/>
              <w:rPr>
                <w:sz w:val="22"/>
                <w:szCs w:val="22"/>
              </w:rPr>
            </w:pPr>
            <w:r w:rsidRPr="00F9303B">
              <w:rPr>
                <w:sz w:val="22"/>
                <w:szCs w:val="22"/>
              </w:rPr>
              <w:t xml:space="preserve">Wittenberg, E., Goldsmith, J., Ferrell, B., &amp; Platt, C. S. (2015, Jul 7). Enhancing Communication Related to Symptom Management Through Plain Language: A Brief Report. </w:t>
            </w:r>
            <w:r w:rsidRPr="00F9303B">
              <w:rPr>
                <w:i/>
                <w:iCs/>
                <w:sz w:val="22"/>
                <w:szCs w:val="22"/>
              </w:rPr>
              <w:t>J Pain Symptom Manage</w:t>
            </w:r>
            <w:r w:rsidRPr="00F9303B">
              <w:rPr>
                <w:sz w:val="22"/>
                <w:szCs w:val="22"/>
              </w:rPr>
              <w:t xml:space="preserve">. https://doi.org/10.1016/j.jpainsymman.2015.06.007 </w:t>
            </w:r>
          </w:p>
          <w:p w14:paraId="0F390E69" w14:textId="77777777" w:rsidR="00243194" w:rsidRDefault="00243194" w:rsidP="00A659E1">
            <w:pPr>
              <w:autoSpaceDE w:val="0"/>
              <w:autoSpaceDN w:val="0"/>
              <w:adjustRightInd w:val="0"/>
              <w:rPr>
                <w:rFonts w:eastAsiaTheme="minorHAnsi"/>
                <w:sz w:val="22"/>
                <w:szCs w:val="22"/>
              </w:rPr>
            </w:pPr>
          </w:p>
          <w:p w14:paraId="0B009ACA" w14:textId="0CC90967" w:rsidR="00FE38DD" w:rsidRPr="00EC483E" w:rsidRDefault="00243194" w:rsidP="00A659E1">
            <w:pPr>
              <w:autoSpaceDE w:val="0"/>
              <w:autoSpaceDN w:val="0"/>
              <w:adjustRightInd w:val="0"/>
              <w:rPr>
                <w:rFonts w:eastAsiaTheme="minorHAnsi"/>
                <w:sz w:val="22"/>
                <w:szCs w:val="22"/>
              </w:rPr>
            </w:pPr>
            <w:r w:rsidRPr="00642C21">
              <w:rPr>
                <w:rFonts w:eastAsiaTheme="minorHAnsi"/>
                <w:sz w:val="22"/>
                <w:szCs w:val="22"/>
              </w:rPr>
              <w:t xml:space="preserve">Song, S., Zhao, Y. C., Yao, X., Ba, Z., &amp; Zhu, Q. (2021). Short video apps as a health information source: an investigation of affordances, user experience and users’ intention to continue the use of tiktok. </w:t>
            </w:r>
            <w:r w:rsidRPr="00642C21">
              <w:rPr>
                <w:rFonts w:eastAsiaTheme="minorHAnsi"/>
                <w:i/>
                <w:iCs/>
                <w:sz w:val="22"/>
                <w:szCs w:val="22"/>
              </w:rPr>
              <w:t>Internet Research</w:t>
            </w:r>
            <w:r w:rsidRPr="00642C21">
              <w:rPr>
                <w:rFonts w:eastAsiaTheme="minorHAnsi"/>
                <w:sz w:val="22"/>
                <w:szCs w:val="22"/>
              </w:rPr>
              <w:t>, 31(6), 2120–2142. https://doi.org/10.1108/INTR-10-2020-0593</w:t>
            </w:r>
          </w:p>
        </w:tc>
      </w:tr>
    </w:tbl>
    <w:p w14:paraId="55B66C3D" w14:textId="77777777" w:rsidR="00FE38DD" w:rsidRPr="00CE5BCF" w:rsidRDefault="00FE38DD" w:rsidP="00A659E1">
      <w:pPr>
        <w:rPr>
          <w:sz w:val="22"/>
          <w:szCs w:val="22"/>
        </w:rPr>
      </w:pPr>
      <w:r w:rsidRPr="00CE5BCF">
        <w:rPr>
          <w:sz w:val="22"/>
          <w:szCs w:val="22"/>
        </w:rPr>
        <w:lastRenderedPageBreak/>
        <w:t>*E=entry-level; A=advanced-level</w:t>
      </w:r>
    </w:p>
    <w:p w14:paraId="52634E27" w14:textId="77777777" w:rsidR="00FE38DD" w:rsidRDefault="00FE38DD" w:rsidP="00A659E1">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46BA20E2" w14:textId="77777777" w:rsidR="00FE38DD" w:rsidRPr="00DC078C" w:rsidRDefault="00FE38DD" w:rsidP="00A659E1">
      <w:pPr>
        <w:ind w:right="720"/>
        <w:rPr>
          <w:sz w:val="22"/>
          <w:szCs w:val="22"/>
        </w:rPr>
      </w:pPr>
    </w:p>
    <w:p w14:paraId="6D8C5B76" w14:textId="77777777" w:rsidR="00FE38DD" w:rsidRDefault="00FE38DD" w:rsidP="00A659E1">
      <w:pPr>
        <w:rPr>
          <w:b/>
          <w:bCs/>
          <w:sz w:val="22"/>
          <w:szCs w:val="22"/>
        </w:rPr>
      </w:pPr>
    </w:p>
    <w:p w14:paraId="3C9DA425" w14:textId="77777777" w:rsidR="00FE38DD" w:rsidRPr="00222018" w:rsidRDefault="00FE38DD" w:rsidP="00A659E1">
      <w:pPr>
        <w:rPr>
          <w:b/>
          <w:bCs/>
          <w:sz w:val="22"/>
          <w:szCs w:val="22"/>
        </w:rPr>
      </w:pPr>
      <w:r>
        <w:rPr>
          <w:b/>
          <w:bCs/>
          <w:sz w:val="22"/>
          <w:szCs w:val="22"/>
        </w:rPr>
        <w:t>Domain 4. Scholarship for the Nursing Discipline</w:t>
      </w:r>
    </w:p>
    <w:tbl>
      <w:tblPr>
        <w:tblStyle w:val="TableGrid"/>
        <w:tblW w:w="14395" w:type="dxa"/>
        <w:tblLook w:val="04A0" w:firstRow="1" w:lastRow="0" w:firstColumn="1" w:lastColumn="0" w:noHBand="0" w:noVBand="1"/>
      </w:tblPr>
      <w:tblGrid>
        <w:gridCol w:w="2425"/>
        <w:gridCol w:w="4140"/>
        <w:gridCol w:w="3330"/>
        <w:gridCol w:w="4500"/>
      </w:tblGrid>
      <w:tr w:rsidR="00FE38DD" w:rsidRPr="00221A1B" w14:paraId="1DBEF3ED" w14:textId="77777777" w:rsidTr="00A659E1">
        <w:tc>
          <w:tcPr>
            <w:tcW w:w="14395" w:type="dxa"/>
            <w:gridSpan w:val="4"/>
            <w:tcBorders>
              <w:bottom w:val="single" w:sz="4" w:space="0" w:color="auto"/>
            </w:tcBorders>
            <w:shd w:val="clear" w:color="auto" w:fill="D9D9D9" w:themeFill="background1" w:themeFillShade="D9"/>
          </w:tcPr>
          <w:p w14:paraId="06AEF709" w14:textId="77777777" w:rsidR="00FE38DD" w:rsidRDefault="00FE38DD" w:rsidP="00A659E1">
            <w:pPr>
              <w:rPr>
                <w:b/>
                <w:bCs/>
                <w:sz w:val="22"/>
                <w:szCs w:val="22"/>
              </w:rPr>
            </w:pPr>
            <w:r w:rsidRPr="006250D8">
              <w:rPr>
                <w:b/>
                <w:bCs/>
                <w:sz w:val="22"/>
                <w:szCs w:val="22"/>
              </w:rPr>
              <w:t>4.1 Advance the scholarship of nursing.</w:t>
            </w:r>
          </w:p>
          <w:p w14:paraId="0147D4B6" w14:textId="77777777" w:rsidR="00FE38DD" w:rsidRDefault="00FE38DD" w:rsidP="00A659E1">
            <w:pPr>
              <w:ind w:left="337"/>
              <w:rPr>
                <w:sz w:val="22"/>
                <w:szCs w:val="22"/>
              </w:rPr>
            </w:pPr>
            <w:r>
              <w:rPr>
                <w:sz w:val="22"/>
                <w:szCs w:val="22"/>
              </w:rPr>
              <w:t>4.1c Apply theoretical framework(s)/models in practice (E)</w:t>
            </w:r>
          </w:p>
          <w:p w14:paraId="3BB805B0" w14:textId="77777777" w:rsidR="00FE38DD" w:rsidRPr="00541D77" w:rsidRDefault="00FE38DD" w:rsidP="00A659E1">
            <w:pPr>
              <w:ind w:left="337"/>
              <w:rPr>
                <w:sz w:val="22"/>
                <w:szCs w:val="22"/>
              </w:rPr>
            </w:pPr>
            <w:r>
              <w:rPr>
                <w:sz w:val="22"/>
                <w:szCs w:val="22"/>
              </w:rPr>
              <w:t>4.1g Communicate scholarly findings (E)</w:t>
            </w:r>
          </w:p>
        </w:tc>
      </w:tr>
      <w:tr w:rsidR="00FE38DD" w:rsidRPr="00221A1B" w14:paraId="41B0143A" w14:textId="77777777" w:rsidTr="00A659E1">
        <w:tc>
          <w:tcPr>
            <w:tcW w:w="2425" w:type="dxa"/>
            <w:tcBorders>
              <w:bottom w:val="single" w:sz="4" w:space="0" w:color="auto"/>
            </w:tcBorders>
          </w:tcPr>
          <w:p w14:paraId="41A098E0" w14:textId="77777777" w:rsidR="00FE38DD" w:rsidRPr="00221A1B" w:rsidRDefault="00FE38DD" w:rsidP="00A659E1">
            <w:pPr>
              <w:rPr>
                <w:b/>
                <w:bCs/>
                <w:sz w:val="22"/>
                <w:szCs w:val="22"/>
              </w:rPr>
            </w:pPr>
            <w:r w:rsidRPr="00221A1B">
              <w:rPr>
                <w:b/>
                <w:bCs/>
                <w:sz w:val="22"/>
                <w:szCs w:val="22"/>
              </w:rPr>
              <w:t>Recommended Content</w:t>
            </w:r>
          </w:p>
        </w:tc>
        <w:tc>
          <w:tcPr>
            <w:tcW w:w="4140" w:type="dxa"/>
            <w:tcBorders>
              <w:bottom w:val="single" w:sz="4" w:space="0" w:color="auto"/>
            </w:tcBorders>
          </w:tcPr>
          <w:p w14:paraId="491591AE" w14:textId="77777777" w:rsidR="00FE38DD" w:rsidRPr="00221A1B" w:rsidRDefault="00FE38DD" w:rsidP="00A659E1">
            <w:pPr>
              <w:rPr>
                <w:b/>
                <w:bCs/>
                <w:sz w:val="22"/>
                <w:szCs w:val="22"/>
              </w:rPr>
            </w:pPr>
            <w:r w:rsidRPr="00221A1B">
              <w:rPr>
                <w:b/>
                <w:bCs/>
                <w:sz w:val="22"/>
                <w:szCs w:val="22"/>
              </w:rPr>
              <w:t>Learning Strategies</w:t>
            </w:r>
          </w:p>
        </w:tc>
        <w:tc>
          <w:tcPr>
            <w:tcW w:w="3330" w:type="dxa"/>
            <w:tcBorders>
              <w:bottom w:val="single" w:sz="4" w:space="0" w:color="auto"/>
            </w:tcBorders>
          </w:tcPr>
          <w:p w14:paraId="5B82A4EA" w14:textId="77777777" w:rsidR="00FE38DD" w:rsidRPr="00221A1B" w:rsidRDefault="00FE38DD" w:rsidP="00A659E1">
            <w:pPr>
              <w:rPr>
                <w:b/>
                <w:bCs/>
                <w:sz w:val="22"/>
                <w:szCs w:val="22"/>
              </w:rPr>
            </w:pPr>
            <w:r w:rsidRPr="00221A1B">
              <w:rPr>
                <w:b/>
                <w:bCs/>
                <w:sz w:val="22"/>
                <w:szCs w:val="22"/>
              </w:rPr>
              <w:t>Assessment</w:t>
            </w:r>
          </w:p>
        </w:tc>
        <w:tc>
          <w:tcPr>
            <w:tcW w:w="4500" w:type="dxa"/>
            <w:tcBorders>
              <w:bottom w:val="single" w:sz="4" w:space="0" w:color="auto"/>
            </w:tcBorders>
          </w:tcPr>
          <w:p w14:paraId="3DFD83A5" w14:textId="77777777" w:rsidR="00FE38DD" w:rsidRPr="00221A1B" w:rsidRDefault="00FE38DD" w:rsidP="00A659E1">
            <w:pPr>
              <w:rPr>
                <w:b/>
                <w:bCs/>
                <w:sz w:val="22"/>
                <w:szCs w:val="22"/>
              </w:rPr>
            </w:pPr>
            <w:r w:rsidRPr="00221A1B">
              <w:rPr>
                <w:b/>
                <w:bCs/>
                <w:sz w:val="22"/>
                <w:szCs w:val="22"/>
              </w:rPr>
              <w:t>Resources</w:t>
            </w:r>
            <w:r>
              <w:rPr>
                <w:b/>
                <w:bCs/>
                <w:sz w:val="22"/>
                <w:szCs w:val="22"/>
              </w:rPr>
              <w:t xml:space="preserve"> and References</w:t>
            </w:r>
          </w:p>
        </w:tc>
      </w:tr>
      <w:tr w:rsidR="00FE38DD" w:rsidRPr="00221A1B" w14:paraId="67A67995" w14:textId="77777777" w:rsidTr="00A659E1">
        <w:tc>
          <w:tcPr>
            <w:tcW w:w="2425" w:type="dxa"/>
          </w:tcPr>
          <w:p w14:paraId="1B04D342" w14:textId="77777777" w:rsidR="00FE38DD" w:rsidRPr="000A4FA6" w:rsidRDefault="00FE38DD" w:rsidP="00A659E1">
            <w:pPr>
              <w:pStyle w:val="ListParagraph"/>
              <w:numPr>
                <w:ilvl w:val="0"/>
                <w:numId w:val="3"/>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COMFORT Communication Model</w:t>
            </w:r>
            <w:r>
              <w:rPr>
                <w:rFonts w:ascii="Times New Roman" w:hAnsi="Times New Roman" w:cs="Times New Roman"/>
                <w:sz w:val="22"/>
                <w:szCs w:val="22"/>
                <w:vertAlign w:val="superscript"/>
              </w:rPr>
              <w:t>a,s,k</w:t>
            </w:r>
          </w:p>
        </w:tc>
        <w:tc>
          <w:tcPr>
            <w:tcW w:w="4140" w:type="dxa"/>
          </w:tcPr>
          <w:p w14:paraId="23294AD1" w14:textId="77777777" w:rsidR="00FE38DD" w:rsidRDefault="00FE38DD" w:rsidP="00A659E1">
            <w:pPr>
              <w:rPr>
                <w:b/>
                <w:bCs/>
                <w:color w:val="FF0000"/>
                <w:sz w:val="22"/>
                <w:szCs w:val="22"/>
              </w:rPr>
            </w:pPr>
            <w:r w:rsidRPr="00C72F8D">
              <w:rPr>
                <w:b/>
                <w:bCs/>
                <w:color w:val="FF0000"/>
                <w:sz w:val="22"/>
                <w:szCs w:val="22"/>
              </w:rPr>
              <w:t>Entry-Level:</w:t>
            </w:r>
          </w:p>
          <w:p w14:paraId="0228047A" w14:textId="77777777" w:rsidR="00FE38DD" w:rsidRDefault="00FE38DD" w:rsidP="00A659E1">
            <w:pPr>
              <w:rPr>
                <w:b/>
                <w:bCs/>
                <w:color w:val="FF0000"/>
                <w:sz w:val="22"/>
                <w:szCs w:val="22"/>
              </w:rPr>
            </w:pPr>
          </w:p>
          <w:p w14:paraId="544079E9" w14:textId="77777777" w:rsidR="00FE38DD" w:rsidRPr="003A3AA9" w:rsidRDefault="00FE38DD" w:rsidP="00A659E1">
            <w:pPr>
              <w:rPr>
                <w:sz w:val="22"/>
                <w:szCs w:val="22"/>
              </w:rPr>
            </w:pPr>
            <w:r>
              <w:rPr>
                <w:sz w:val="22"/>
                <w:szCs w:val="22"/>
              </w:rPr>
              <w:t>-Read and discuss COMFORT in Nursing (Wittenberg et al, 2020)</w:t>
            </w:r>
          </w:p>
          <w:p w14:paraId="4891C553" w14:textId="77777777" w:rsidR="00FE38DD" w:rsidRDefault="00FE38DD" w:rsidP="00A659E1">
            <w:pPr>
              <w:rPr>
                <w:color w:val="000000" w:themeColor="text1"/>
                <w:sz w:val="22"/>
                <w:szCs w:val="22"/>
              </w:rPr>
            </w:pPr>
          </w:p>
          <w:p w14:paraId="1B4BDE4A" w14:textId="77777777" w:rsidR="00FE38DD" w:rsidRPr="00211A97" w:rsidRDefault="00FE38DD" w:rsidP="00A659E1">
            <w:pPr>
              <w:rPr>
                <w:color w:val="000000" w:themeColor="text1"/>
                <w:sz w:val="22"/>
                <w:szCs w:val="22"/>
              </w:rPr>
            </w:pPr>
            <w:r>
              <w:rPr>
                <w:color w:val="000000" w:themeColor="text1"/>
                <w:sz w:val="22"/>
                <w:szCs w:val="22"/>
              </w:rPr>
              <w:t>-Watch two modules on COMFORT Communication for PPE and Telehealth</w:t>
            </w:r>
          </w:p>
          <w:p w14:paraId="489B8E41" w14:textId="77777777" w:rsidR="00FE38DD" w:rsidRDefault="00FE38DD" w:rsidP="00A659E1">
            <w:pPr>
              <w:pStyle w:val="ListParagraph"/>
              <w:ind w:left="360"/>
              <w:rPr>
                <w:rFonts w:ascii="Times New Roman" w:hAnsi="Times New Roman" w:cs="Times New Roman"/>
                <w:sz w:val="22"/>
                <w:szCs w:val="22"/>
              </w:rPr>
            </w:pPr>
          </w:p>
          <w:p w14:paraId="12AD377F" w14:textId="77777777" w:rsidR="00FE38DD" w:rsidRDefault="00FE38DD" w:rsidP="00A659E1">
            <w:pPr>
              <w:rPr>
                <w:sz w:val="22"/>
                <w:szCs w:val="22"/>
              </w:rPr>
            </w:pPr>
            <w:r>
              <w:rPr>
                <w:sz w:val="22"/>
                <w:szCs w:val="22"/>
              </w:rPr>
              <w:t>-Experiment with the Comfort Communication App in small groups</w:t>
            </w:r>
          </w:p>
          <w:p w14:paraId="1A36BB7C" w14:textId="77777777" w:rsidR="00FE38DD" w:rsidRDefault="00FE38DD" w:rsidP="00A659E1">
            <w:pPr>
              <w:rPr>
                <w:sz w:val="22"/>
                <w:szCs w:val="22"/>
              </w:rPr>
            </w:pPr>
          </w:p>
          <w:p w14:paraId="40C34E4D" w14:textId="77777777" w:rsidR="00FE38DD" w:rsidRDefault="00FE38DD" w:rsidP="00A659E1">
            <w:pPr>
              <w:rPr>
                <w:sz w:val="22"/>
                <w:szCs w:val="22"/>
              </w:rPr>
            </w:pPr>
            <w:r>
              <w:rPr>
                <w:sz w:val="22"/>
                <w:szCs w:val="22"/>
              </w:rPr>
              <w:t>-Read and discuss COMFORT in Nursing (Wittenberg et al, 2020)</w:t>
            </w:r>
          </w:p>
          <w:p w14:paraId="1F9FBA0A" w14:textId="77777777" w:rsidR="00FE38DD" w:rsidRPr="00211A97" w:rsidRDefault="00FE38DD" w:rsidP="00A659E1">
            <w:pPr>
              <w:rPr>
                <w:sz w:val="22"/>
                <w:szCs w:val="22"/>
              </w:rPr>
            </w:pPr>
          </w:p>
          <w:p w14:paraId="4DB0D1D9" w14:textId="4346F8CE" w:rsidR="00FE38DD" w:rsidRDefault="00FE38DD" w:rsidP="00A659E1">
            <w:pPr>
              <w:rPr>
                <w:b/>
                <w:bCs/>
                <w:color w:val="FF0000"/>
                <w:sz w:val="22"/>
                <w:szCs w:val="22"/>
              </w:rPr>
            </w:pPr>
            <w:r w:rsidRPr="00C72F8D">
              <w:rPr>
                <w:b/>
                <w:bCs/>
                <w:color w:val="FF0000"/>
                <w:sz w:val="22"/>
                <w:szCs w:val="22"/>
              </w:rPr>
              <w:t>Advanced</w:t>
            </w:r>
            <w:r w:rsidR="000A2313">
              <w:rPr>
                <w:b/>
                <w:bCs/>
                <w:color w:val="FF0000"/>
                <w:sz w:val="22"/>
                <w:szCs w:val="22"/>
              </w:rPr>
              <w:t xml:space="preserve"> level</w:t>
            </w:r>
            <w:r w:rsidRPr="00C72F8D">
              <w:rPr>
                <w:b/>
                <w:bCs/>
                <w:color w:val="FF0000"/>
                <w:sz w:val="22"/>
                <w:szCs w:val="22"/>
              </w:rPr>
              <w:t>:</w:t>
            </w:r>
          </w:p>
          <w:p w14:paraId="136F3EDD" w14:textId="77777777" w:rsidR="00FE38DD" w:rsidRDefault="00FE38DD" w:rsidP="00A659E1">
            <w:pPr>
              <w:rPr>
                <w:b/>
                <w:bCs/>
                <w:color w:val="FF0000"/>
                <w:sz w:val="22"/>
                <w:szCs w:val="22"/>
              </w:rPr>
            </w:pPr>
          </w:p>
          <w:p w14:paraId="2DCB4D46" w14:textId="77777777" w:rsidR="00FE38DD" w:rsidRDefault="00FE38DD" w:rsidP="00A659E1">
            <w:pPr>
              <w:rPr>
                <w:color w:val="000000" w:themeColor="text1"/>
                <w:sz w:val="22"/>
                <w:szCs w:val="22"/>
              </w:rPr>
            </w:pPr>
            <w:r>
              <w:rPr>
                <w:color w:val="000000" w:themeColor="text1"/>
                <w:sz w:val="22"/>
                <w:szCs w:val="22"/>
              </w:rPr>
              <w:t>-Include lecture on Relating (Goals of Care) followed by discussion</w:t>
            </w:r>
          </w:p>
          <w:p w14:paraId="6B60379D" w14:textId="77777777" w:rsidR="00FE38DD" w:rsidRDefault="00FE38DD" w:rsidP="00A659E1">
            <w:pPr>
              <w:rPr>
                <w:color w:val="000000" w:themeColor="text1"/>
                <w:sz w:val="22"/>
                <w:szCs w:val="22"/>
              </w:rPr>
            </w:pPr>
          </w:p>
          <w:p w14:paraId="65428349" w14:textId="77777777" w:rsidR="00FE38DD" w:rsidRDefault="00FE38DD" w:rsidP="00A659E1">
            <w:pPr>
              <w:rPr>
                <w:color w:val="000000" w:themeColor="text1"/>
                <w:sz w:val="22"/>
                <w:szCs w:val="22"/>
              </w:rPr>
            </w:pPr>
            <w:r>
              <w:rPr>
                <w:color w:val="000000" w:themeColor="text1"/>
                <w:sz w:val="22"/>
                <w:szCs w:val="22"/>
              </w:rPr>
              <w:t>-Include lecture of Openings (Uncertainty) followed by discussion</w:t>
            </w:r>
          </w:p>
          <w:p w14:paraId="43B36E19" w14:textId="77777777" w:rsidR="00FE38DD" w:rsidRDefault="00FE38DD" w:rsidP="00A659E1">
            <w:pPr>
              <w:rPr>
                <w:color w:val="000000" w:themeColor="text1"/>
                <w:sz w:val="22"/>
                <w:szCs w:val="22"/>
              </w:rPr>
            </w:pPr>
          </w:p>
          <w:p w14:paraId="7FFB6ACB" w14:textId="0A71D0A6" w:rsidR="007B37CE" w:rsidRDefault="00FE38DD" w:rsidP="007B37CE">
            <w:pPr>
              <w:rPr>
                <w:color w:val="000000" w:themeColor="text1"/>
                <w:sz w:val="22"/>
                <w:szCs w:val="22"/>
              </w:rPr>
            </w:pPr>
            <w:r>
              <w:rPr>
                <w:color w:val="000000" w:themeColor="text1"/>
                <w:sz w:val="22"/>
                <w:szCs w:val="22"/>
              </w:rPr>
              <w:t>-Students will implement an Opening observation and engagement during clinicals and share back in didactic setti</w:t>
            </w:r>
            <w:r w:rsidR="00A2096E">
              <w:rPr>
                <w:color w:val="000000" w:themeColor="text1"/>
                <w:sz w:val="22"/>
                <w:szCs w:val="22"/>
              </w:rPr>
              <w:t>ng</w:t>
            </w:r>
          </w:p>
          <w:p w14:paraId="16B38ECD" w14:textId="5002DADB" w:rsidR="00F56C66" w:rsidRPr="006E0965" w:rsidRDefault="00F56C66" w:rsidP="006E0965">
            <w:pPr>
              <w:rPr>
                <w:color w:val="000000" w:themeColor="text1"/>
                <w:sz w:val="22"/>
                <w:szCs w:val="22"/>
              </w:rPr>
            </w:pPr>
          </w:p>
          <w:p w14:paraId="16F33B86" w14:textId="77777777" w:rsidR="00FE38DD" w:rsidRPr="00694FF4" w:rsidRDefault="00FE38DD" w:rsidP="00A659E1">
            <w:pPr>
              <w:rPr>
                <w:sz w:val="22"/>
                <w:szCs w:val="22"/>
              </w:rPr>
            </w:pPr>
          </w:p>
        </w:tc>
        <w:tc>
          <w:tcPr>
            <w:tcW w:w="3330" w:type="dxa"/>
          </w:tcPr>
          <w:p w14:paraId="0C3F44DF" w14:textId="77777777" w:rsidR="00FE38DD" w:rsidRPr="008A4228" w:rsidRDefault="00FE38DD" w:rsidP="00A659E1">
            <w:pPr>
              <w:rPr>
                <w:color w:val="000000"/>
                <w:sz w:val="22"/>
              </w:rPr>
            </w:pPr>
            <w:r>
              <w:rPr>
                <w:color w:val="000000"/>
                <w:sz w:val="22"/>
              </w:rPr>
              <w:t>Caring Self-Efficacy Scale (Reid et al, 2015)</w:t>
            </w:r>
          </w:p>
        </w:tc>
        <w:tc>
          <w:tcPr>
            <w:tcW w:w="4500" w:type="dxa"/>
          </w:tcPr>
          <w:p w14:paraId="7241D389" w14:textId="77777777" w:rsidR="00FE38DD" w:rsidRDefault="00FE38DD" w:rsidP="00A659E1">
            <w:pPr>
              <w:autoSpaceDE w:val="0"/>
              <w:autoSpaceDN w:val="0"/>
              <w:adjustRightInd w:val="0"/>
              <w:rPr>
                <w:rFonts w:eastAsiaTheme="minorHAnsi"/>
                <w:sz w:val="22"/>
                <w:szCs w:val="22"/>
              </w:rPr>
            </w:pPr>
            <w:r w:rsidRPr="00D93E8F">
              <w:rPr>
                <w:rFonts w:eastAsiaTheme="minorHAnsi"/>
                <w:sz w:val="22"/>
                <w:szCs w:val="22"/>
              </w:rPr>
              <w:t xml:space="preserve">Reid, C., Courtney, M., Anderson, D., &amp; Hurst, C. (2015, Dec). The 'caring experience': Testing the psychometric properties of the Caring Efficacy Scale. </w:t>
            </w:r>
            <w:r w:rsidRPr="00D93E8F">
              <w:rPr>
                <w:rFonts w:eastAsiaTheme="minorHAnsi"/>
                <w:i/>
                <w:iCs/>
                <w:sz w:val="22"/>
                <w:szCs w:val="22"/>
              </w:rPr>
              <w:t>Int J Nurs Pract, 21</w:t>
            </w:r>
            <w:r w:rsidRPr="00D93E8F">
              <w:rPr>
                <w:rFonts w:eastAsiaTheme="minorHAnsi"/>
                <w:sz w:val="22"/>
                <w:szCs w:val="22"/>
              </w:rPr>
              <w:t xml:space="preserve">(6), 904-912. https://doi.org/10.1111/ijn.12327 </w:t>
            </w:r>
          </w:p>
          <w:p w14:paraId="625D1545" w14:textId="77777777" w:rsidR="00FE38DD" w:rsidRDefault="00FE38DD" w:rsidP="00A659E1">
            <w:pPr>
              <w:autoSpaceDE w:val="0"/>
              <w:autoSpaceDN w:val="0"/>
              <w:adjustRightInd w:val="0"/>
              <w:rPr>
                <w:rFonts w:eastAsiaTheme="minorHAnsi"/>
                <w:sz w:val="22"/>
                <w:szCs w:val="22"/>
              </w:rPr>
            </w:pPr>
          </w:p>
          <w:p w14:paraId="2805E47D" w14:textId="77777777" w:rsidR="00FE38DD" w:rsidRDefault="00FE38DD" w:rsidP="00A659E1">
            <w:pPr>
              <w:autoSpaceDE w:val="0"/>
              <w:autoSpaceDN w:val="0"/>
              <w:adjustRightInd w:val="0"/>
              <w:rPr>
                <w:rFonts w:eastAsiaTheme="minorHAnsi"/>
                <w:sz w:val="22"/>
                <w:szCs w:val="22"/>
              </w:rPr>
            </w:pPr>
            <w:r>
              <w:rPr>
                <w:rFonts w:eastAsiaTheme="minorHAnsi"/>
                <w:sz w:val="22"/>
                <w:szCs w:val="22"/>
              </w:rPr>
              <w:t>Comfort Communication App</w:t>
            </w:r>
          </w:p>
          <w:p w14:paraId="051B62E2" w14:textId="77777777" w:rsidR="00FE38DD" w:rsidRDefault="00337990" w:rsidP="00A659E1">
            <w:pPr>
              <w:autoSpaceDE w:val="0"/>
              <w:autoSpaceDN w:val="0"/>
              <w:adjustRightInd w:val="0"/>
              <w:rPr>
                <w:rFonts w:eastAsiaTheme="minorHAnsi"/>
                <w:sz w:val="22"/>
                <w:szCs w:val="22"/>
              </w:rPr>
            </w:pPr>
            <w:hyperlink r:id="rId11" w:history="1">
              <w:r w:rsidR="00FE38DD" w:rsidRPr="001F1697">
                <w:rPr>
                  <w:rStyle w:val="Hyperlink"/>
                  <w:rFonts w:eastAsiaTheme="minorHAnsi"/>
                  <w:sz w:val="22"/>
                  <w:szCs w:val="22"/>
                </w:rPr>
                <w:t>www.app.communicatecomfort.com</w:t>
              </w:r>
            </w:hyperlink>
          </w:p>
          <w:p w14:paraId="06AD38EB" w14:textId="77777777" w:rsidR="00FE38DD" w:rsidRDefault="00FE38DD" w:rsidP="00A659E1">
            <w:pPr>
              <w:autoSpaceDE w:val="0"/>
              <w:autoSpaceDN w:val="0"/>
              <w:adjustRightInd w:val="0"/>
              <w:rPr>
                <w:rFonts w:eastAsiaTheme="minorHAnsi"/>
                <w:sz w:val="22"/>
                <w:szCs w:val="22"/>
              </w:rPr>
            </w:pPr>
          </w:p>
          <w:p w14:paraId="3E6D476B" w14:textId="77777777" w:rsidR="00FE38DD" w:rsidRDefault="00FE38DD" w:rsidP="00A659E1">
            <w:pPr>
              <w:autoSpaceDE w:val="0"/>
              <w:autoSpaceDN w:val="0"/>
              <w:adjustRightInd w:val="0"/>
              <w:rPr>
                <w:rStyle w:val="markedcontent"/>
              </w:rPr>
            </w:pPr>
          </w:p>
          <w:p w14:paraId="0159A89F" w14:textId="77777777" w:rsidR="00FE38DD" w:rsidRPr="008A4228" w:rsidRDefault="00FE38DD" w:rsidP="00A659E1">
            <w:pPr>
              <w:autoSpaceDE w:val="0"/>
              <w:autoSpaceDN w:val="0"/>
              <w:adjustRightInd w:val="0"/>
              <w:rPr>
                <w:rFonts w:eastAsiaTheme="minorHAnsi"/>
                <w:sz w:val="22"/>
                <w:szCs w:val="22"/>
              </w:rPr>
            </w:pPr>
          </w:p>
        </w:tc>
      </w:tr>
    </w:tbl>
    <w:p w14:paraId="78932E35" w14:textId="77777777" w:rsidR="00FE38DD" w:rsidRPr="00CE5BCF" w:rsidRDefault="00FE38DD" w:rsidP="00A659E1">
      <w:pPr>
        <w:rPr>
          <w:sz w:val="22"/>
          <w:szCs w:val="22"/>
        </w:rPr>
      </w:pPr>
      <w:r w:rsidRPr="00CE5BCF">
        <w:rPr>
          <w:sz w:val="22"/>
          <w:szCs w:val="22"/>
        </w:rPr>
        <w:t>*E=entry-level; A=advanced-level</w:t>
      </w:r>
    </w:p>
    <w:p w14:paraId="41608DD5" w14:textId="77777777" w:rsidR="00FE38DD" w:rsidRPr="00A017C7" w:rsidRDefault="00FE38DD" w:rsidP="00A659E1">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6D95D200" w14:textId="77777777" w:rsidR="00FE38DD" w:rsidRDefault="00FE38DD" w:rsidP="00A659E1">
      <w:pPr>
        <w:rPr>
          <w:sz w:val="22"/>
          <w:szCs w:val="22"/>
        </w:rPr>
      </w:pPr>
    </w:p>
    <w:p w14:paraId="335D3D8F" w14:textId="75DF63F4" w:rsidR="00FE38DD" w:rsidRDefault="00FE38DD">
      <w:pPr>
        <w:rPr>
          <w:b/>
          <w:bCs/>
          <w:sz w:val="22"/>
          <w:szCs w:val="22"/>
        </w:rPr>
      </w:pPr>
    </w:p>
    <w:p w14:paraId="1B0F6AA6" w14:textId="77777777" w:rsidR="00FE38DD" w:rsidRPr="00222018" w:rsidRDefault="00FE38DD" w:rsidP="00A659E1">
      <w:pPr>
        <w:rPr>
          <w:b/>
          <w:bCs/>
          <w:sz w:val="22"/>
          <w:szCs w:val="22"/>
        </w:rPr>
      </w:pPr>
      <w:r>
        <w:rPr>
          <w:b/>
          <w:bCs/>
          <w:sz w:val="22"/>
          <w:szCs w:val="22"/>
        </w:rPr>
        <w:t>Domain 5. Quality and Safety</w:t>
      </w:r>
    </w:p>
    <w:tbl>
      <w:tblPr>
        <w:tblStyle w:val="TableGrid"/>
        <w:tblW w:w="14395" w:type="dxa"/>
        <w:tblLook w:val="04A0" w:firstRow="1" w:lastRow="0" w:firstColumn="1" w:lastColumn="0" w:noHBand="0" w:noVBand="1"/>
      </w:tblPr>
      <w:tblGrid>
        <w:gridCol w:w="2875"/>
        <w:gridCol w:w="4140"/>
        <w:gridCol w:w="2700"/>
        <w:gridCol w:w="4680"/>
      </w:tblGrid>
      <w:tr w:rsidR="00FE38DD" w:rsidRPr="00221A1B" w14:paraId="4DA48EEB" w14:textId="77777777" w:rsidTr="00A659E1">
        <w:tc>
          <w:tcPr>
            <w:tcW w:w="14395" w:type="dxa"/>
            <w:gridSpan w:val="4"/>
            <w:tcBorders>
              <w:bottom w:val="single" w:sz="4" w:space="0" w:color="auto"/>
            </w:tcBorders>
            <w:shd w:val="clear" w:color="auto" w:fill="D9D9D9" w:themeFill="background1" w:themeFillShade="D9"/>
          </w:tcPr>
          <w:p w14:paraId="397B11A9" w14:textId="77777777" w:rsidR="00FE38DD" w:rsidRDefault="00FE38DD" w:rsidP="00A659E1">
            <w:pPr>
              <w:rPr>
                <w:b/>
                <w:bCs/>
                <w:sz w:val="22"/>
                <w:szCs w:val="22"/>
              </w:rPr>
            </w:pPr>
            <w:r w:rsidRPr="007C36FF">
              <w:rPr>
                <w:b/>
                <w:bCs/>
                <w:sz w:val="22"/>
                <w:szCs w:val="22"/>
              </w:rPr>
              <w:t>5.2 Contribute to a culture of patient safety.</w:t>
            </w:r>
          </w:p>
          <w:p w14:paraId="41615271" w14:textId="77777777" w:rsidR="00FE38DD" w:rsidRPr="00A10AF1" w:rsidRDefault="00FE38DD" w:rsidP="00A659E1">
            <w:pPr>
              <w:ind w:left="337"/>
              <w:rPr>
                <w:sz w:val="22"/>
                <w:szCs w:val="22"/>
              </w:rPr>
            </w:pPr>
            <w:r>
              <w:rPr>
                <w:sz w:val="22"/>
                <w:szCs w:val="22"/>
              </w:rPr>
              <w:t>5.2b Articulate the nurse’s role within an interprofessional team in promoting safety and preventing errors and near misses (E)</w:t>
            </w:r>
          </w:p>
        </w:tc>
      </w:tr>
      <w:tr w:rsidR="00FE38DD" w:rsidRPr="00221A1B" w14:paraId="5863880B" w14:textId="77777777" w:rsidTr="00A659E1">
        <w:tc>
          <w:tcPr>
            <w:tcW w:w="2875" w:type="dxa"/>
            <w:tcBorders>
              <w:bottom w:val="single" w:sz="4" w:space="0" w:color="auto"/>
            </w:tcBorders>
          </w:tcPr>
          <w:p w14:paraId="3D0BAD5B" w14:textId="77777777" w:rsidR="00FE38DD" w:rsidRPr="00221A1B" w:rsidRDefault="00FE38DD" w:rsidP="00A659E1">
            <w:pPr>
              <w:rPr>
                <w:b/>
                <w:bCs/>
                <w:sz w:val="22"/>
                <w:szCs w:val="22"/>
              </w:rPr>
            </w:pPr>
            <w:r w:rsidRPr="00221A1B">
              <w:rPr>
                <w:b/>
                <w:bCs/>
                <w:sz w:val="22"/>
                <w:szCs w:val="22"/>
              </w:rPr>
              <w:t>Recommended Content</w:t>
            </w:r>
          </w:p>
        </w:tc>
        <w:tc>
          <w:tcPr>
            <w:tcW w:w="4140" w:type="dxa"/>
            <w:tcBorders>
              <w:bottom w:val="single" w:sz="4" w:space="0" w:color="auto"/>
            </w:tcBorders>
          </w:tcPr>
          <w:p w14:paraId="040649B0" w14:textId="77777777" w:rsidR="00FE38DD" w:rsidRPr="00221A1B" w:rsidRDefault="00FE38DD" w:rsidP="00A659E1">
            <w:pPr>
              <w:rPr>
                <w:b/>
                <w:bCs/>
                <w:sz w:val="22"/>
                <w:szCs w:val="22"/>
              </w:rPr>
            </w:pPr>
            <w:r w:rsidRPr="00221A1B">
              <w:rPr>
                <w:b/>
                <w:bCs/>
                <w:sz w:val="22"/>
                <w:szCs w:val="22"/>
              </w:rPr>
              <w:t>Learning Strategies</w:t>
            </w:r>
          </w:p>
        </w:tc>
        <w:tc>
          <w:tcPr>
            <w:tcW w:w="2700" w:type="dxa"/>
            <w:tcBorders>
              <w:bottom w:val="single" w:sz="4" w:space="0" w:color="auto"/>
            </w:tcBorders>
          </w:tcPr>
          <w:p w14:paraId="00459F50" w14:textId="77777777" w:rsidR="00FE38DD" w:rsidRPr="00221A1B" w:rsidRDefault="00FE38DD" w:rsidP="00A659E1">
            <w:pPr>
              <w:rPr>
                <w:b/>
                <w:bCs/>
                <w:sz w:val="22"/>
                <w:szCs w:val="22"/>
              </w:rPr>
            </w:pPr>
            <w:r w:rsidRPr="00221A1B">
              <w:rPr>
                <w:b/>
                <w:bCs/>
                <w:sz w:val="22"/>
                <w:szCs w:val="22"/>
              </w:rPr>
              <w:t>Assessment</w:t>
            </w:r>
          </w:p>
        </w:tc>
        <w:tc>
          <w:tcPr>
            <w:tcW w:w="4680" w:type="dxa"/>
            <w:tcBorders>
              <w:bottom w:val="single" w:sz="4" w:space="0" w:color="auto"/>
            </w:tcBorders>
          </w:tcPr>
          <w:p w14:paraId="09FD6049" w14:textId="77777777" w:rsidR="00FE38DD" w:rsidRPr="00221A1B" w:rsidRDefault="00FE38DD" w:rsidP="00A659E1">
            <w:pPr>
              <w:rPr>
                <w:b/>
                <w:bCs/>
                <w:sz w:val="22"/>
                <w:szCs w:val="22"/>
              </w:rPr>
            </w:pPr>
            <w:r w:rsidRPr="00221A1B">
              <w:rPr>
                <w:b/>
                <w:bCs/>
                <w:sz w:val="22"/>
                <w:szCs w:val="22"/>
              </w:rPr>
              <w:t>Resources</w:t>
            </w:r>
            <w:r>
              <w:rPr>
                <w:b/>
                <w:bCs/>
                <w:sz w:val="22"/>
                <w:szCs w:val="22"/>
              </w:rPr>
              <w:t xml:space="preserve"> and References</w:t>
            </w:r>
          </w:p>
        </w:tc>
      </w:tr>
      <w:tr w:rsidR="00FE38DD" w:rsidRPr="00221A1B" w14:paraId="3E7E8D6E" w14:textId="77777777" w:rsidTr="00A659E1">
        <w:tc>
          <w:tcPr>
            <w:tcW w:w="2875" w:type="dxa"/>
            <w:tcBorders>
              <w:bottom w:val="single" w:sz="4" w:space="0" w:color="auto"/>
            </w:tcBorders>
          </w:tcPr>
          <w:p w14:paraId="7D66E6B3" w14:textId="77777777" w:rsidR="00FE38DD" w:rsidRPr="000A4FA6" w:rsidRDefault="00FE38DD" w:rsidP="00A659E1">
            <w:pPr>
              <w:pStyle w:val="ListParagraph"/>
              <w:numPr>
                <w:ilvl w:val="0"/>
                <w:numId w:val="3"/>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Interprofessional model of Communication </w:t>
            </w:r>
            <w:r>
              <w:rPr>
                <w:rFonts w:ascii="Times New Roman" w:hAnsi="Times New Roman" w:cs="Times New Roman"/>
                <w:sz w:val="22"/>
                <w:szCs w:val="22"/>
                <w:vertAlign w:val="superscript"/>
              </w:rPr>
              <w:t>s,k</w:t>
            </w:r>
          </w:p>
        </w:tc>
        <w:tc>
          <w:tcPr>
            <w:tcW w:w="4140" w:type="dxa"/>
            <w:tcBorders>
              <w:bottom w:val="single" w:sz="4" w:space="0" w:color="auto"/>
            </w:tcBorders>
          </w:tcPr>
          <w:p w14:paraId="6FAD5457" w14:textId="77777777" w:rsidR="00FE38DD" w:rsidRPr="00C3730D" w:rsidRDefault="00FE38DD" w:rsidP="00A659E1">
            <w:pPr>
              <w:rPr>
                <w:b/>
                <w:bCs/>
                <w:color w:val="FF0000"/>
                <w:sz w:val="22"/>
                <w:szCs w:val="22"/>
              </w:rPr>
            </w:pPr>
            <w:r w:rsidRPr="00C3730D">
              <w:rPr>
                <w:b/>
                <w:bCs/>
                <w:color w:val="FF0000"/>
                <w:sz w:val="22"/>
                <w:szCs w:val="22"/>
              </w:rPr>
              <w:t>Entry-Level:</w:t>
            </w:r>
          </w:p>
          <w:p w14:paraId="67897C6C" w14:textId="77777777" w:rsidR="00FE38DD" w:rsidRPr="00C3730D" w:rsidRDefault="00FE38DD" w:rsidP="00A659E1">
            <w:pPr>
              <w:rPr>
                <w:sz w:val="22"/>
                <w:szCs w:val="22"/>
              </w:rPr>
            </w:pPr>
          </w:p>
          <w:p w14:paraId="20772DF4" w14:textId="77777777" w:rsidR="00FE38DD" w:rsidRPr="00C3730D" w:rsidRDefault="00FE38DD" w:rsidP="00A659E1">
            <w:pPr>
              <w:rPr>
                <w:sz w:val="22"/>
                <w:szCs w:val="22"/>
              </w:rPr>
            </w:pPr>
            <w:r w:rsidRPr="00C3730D">
              <w:rPr>
                <w:sz w:val="22"/>
                <w:szCs w:val="22"/>
              </w:rPr>
              <w:t>-Watching examples of shift handoff, role play, analysis (SBAR)</w:t>
            </w:r>
          </w:p>
          <w:p w14:paraId="172AA0A4" w14:textId="77777777" w:rsidR="00FE38DD" w:rsidRPr="00C3730D" w:rsidRDefault="00FE38DD" w:rsidP="00A659E1">
            <w:pPr>
              <w:rPr>
                <w:sz w:val="22"/>
                <w:szCs w:val="22"/>
              </w:rPr>
            </w:pPr>
          </w:p>
          <w:p w14:paraId="5961737E" w14:textId="77777777" w:rsidR="00FE38DD" w:rsidRPr="00C3730D" w:rsidRDefault="00FE38DD" w:rsidP="00A659E1">
            <w:pPr>
              <w:rPr>
                <w:sz w:val="22"/>
                <w:szCs w:val="22"/>
              </w:rPr>
            </w:pPr>
            <w:r w:rsidRPr="00C3730D">
              <w:rPr>
                <w:sz w:val="22"/>
                <w:szCs w:val="22"/>
              </w:rPr>
              <w:t>-Requesting and using language interpretation services lecture, test</w:t>
            </w:r>
          </w:p>
          <w:p w14:paraId="0A98804B" w14:textId="77777777" w:rsidR="00FE38DD" w:rsidRPr="00C3730D" w:rsidRDefault="00FE38DD" w:rsidP="00A659E1">
            <w:pPr>
              <w:rPr>
                <w:sz w:val="22"/>
                <w:szCs w:val="22"/>
              </w:rPr>
            </w:pPr>
          </w:p>
          <w:p w14:paraId="177E76B8" w14:textId="77777777" w:rsidR="00FE38DD" w:rsidRPr="00C3730D" w:rsidRDefault="00FE38DD" w:rsidP="00A659E1">
            <w:pPr>
              <w:rPr>
                <w:sz w:val="22"/>
                <w:szCs w:val="22"/>
              </w:rPr>
            </w:pPr>
            <w:r w:rsidRPr="00C3730D">
              <w:rPr>
                <w:sz w:val="22"/>
                <w:szCs w:val="22"/>
              </w:rPr>
              <w:t>-Watching video of language services needed but not available, and examples of language service acquisition/support</w:t>
            </w:r>
          </w:p>
          <w:p w14:paraId="699D3088" w14:textId="77777777" w:rsidR="00FE38DD" w:rsidRPr="00C3730D" w:rsidRDefault="00FE38DD" w:rsidP="00A659E1">
            <w:pPr>
              <w:rPr>
                <w:sz w:val="22"/>
                <w:szCs w:val="22"/>
              </w:rPr>
            </w:pPr>
          </w:p>
          <w:p w14:paraId="2B1051FA" w14:textId="77777777" w:rsidR="00FE38DD" w:rsidRDefault="00FE38DD" w:rsidP="00A659E1">
            <w:pPr>
              <w:rPr>
                <w:sz w:val="22"/>
                <w:szCs w:val="22"/>
              </w:rPr>
            </w:pPr>
            <w:r w:rsidRPr="00C3730D">
              <w:rPr>
                <w:sz w:val="22"/>
                <w:szCs w:val="22"/>
              </w:rPr>
              <w:t>-Share Interprofessional Model followed by discussion of how this can be practically observed /needed in clinical context.</w:t>
            </w:r>
          </w:p>
          <w:p w14:paraId="251C565D" w14:textId="77777777" w:rsidR="00C5081D" w:rsidRDefault="00C5081D" w:rsidP="007B37CE">
            <w:pPr>
              <w:rPr>
                <w:b/>
                <w:bCs/>
                <w:color w:val="FF0000"/>
                <w:sz w:val="22"/>
                <w:szCs w:val="22"/>
              </w:rPr>
            </w:pPr>
          </w:p>
          <w:p w14:paraId="2168B0DE" w14:textId="77777777" w:rsidR="00C5081D" w:rsidRDefault="00C5081D" w:rsidP="007B37CE">
            <w:pPr>
              <w:rPr>
                <w:b/>
                <w:bCs/>
                <w:color w:val="FF0000"/>
                <w:sz w:val="22"/>
                <w:szCs w:val="22"/>
              </w:rPr>
            </w:pPr>
          </w:p>
          <w:p w14:paraId="70C602E9" w14:textId="4B29E5FB" w:rsidR="007B37CE" w:rsidRDefault="007B37CE" w:rsidP="007B37CE">
            <w:pPr>
              <w:rPr>
                <w:b/>
                <w:bCs/>
                <w:color w:val="FF0000"/>
                <w:sz w:val="22"/>
                <w:szCs w:val="22"/>
              </w:rPr>
            </w:pPr>
            <w:r w:rsidRPr="00C72F8D">
              <w:rPr>
                <w:b/>
                <w:bCs/>
                <w:color w:val="FF0000"/>
                <w:sz w:val="22"/>
                <w:szCs w:val="22"/>
              </w:rPr>
              <w:t>Advanced</w:t>
            </w:r>
            <w:r>
              <w:rPr>
                <w:b/>
                <w:bCs/>
                <w:color w:val="FF0000"/>
                <w:sz w:val="22"/>
                <w:szCs w:val="22"/>
              </w:rPr>
              <w:t xml:space="preserve"> level</w:t>
            </w:r>
            <w:r w:rsidRPr="00C72F8D">
              <w:rPr>
                <w:b/>
                <w:bCs/>
                <w:color w:val="FF0000"/>
                <w:sz w:val="22"/>
                <w:szCs w:val="22"/>
              </w:rPr>
              <w:t>:</w:t>
            </w:r>
          </w:p>
          <w:p w14:paraId="4F434199" w14:textId="62386FA9" w:rsidR="007B37CE" w:rsidRDefault="007B37CE" w:rsidP="007B37CE">
            <w:pPr>
              <w:rPr>
                <w:b/>
                <w:bCs/>
                <w:color w:val="FF0000"/>
                <w:sz w:val="22"/>
                <w:szCs w:val="22"/>
              </w:rPr>
            </w:pPr>
          </w:p>
          <w:p w14:paraId="6732C215" w14:textId="3F2BE6ED" w:rsidR="00056B04" w:rsidRPr="00642C21" w:rsidRDefault="007B37CE" w:rsidP="00EF0547">
            <w:pPr>
              <w:rPr>
                <w:sz w:val="22"/>
                <w:szCs w:val="22"/>
              </w:rPr>
            </w:pPr>
            <w:r w:rsidRPr="00642C21">
              <w:rPr>
                <w:sz w:val="22"/>
                <w:szCs w:val="22"/>
              </w:rPr>
              <w:t xml:space="preserve">-Introduce technology </w:t>
            </w:r>
            <w:r w:rsidR="00EF0547" w:rsidRPr="00642C21">
              <w:rPr>
                <w:sz w:val="22"/>
                <w:szCs w:val="22"/>
              </w:rPr>
              <w:t>to</w:t>
            </w:r>
            <w:r w:rsidRPr="00642C21">
              <w:rPr>
                <w:sz w:val="22"/>
                <w:szCs w:val="22"/>
              </w:rPr>
              <w:t xml:space="preserve"> </w:t>
            </w:r>
            <w:r w:rsidR="00EF0547" w:rsidRPr="00642C21">
              <w:rPr>
                <w:sz w:val="22"/>
                <w:szCs w:val="22"/>
              </w:rPr>
              <w:t xml:space="preserve">understand appropriate feelings, experiences, and abilities </w:t>
            </w:r>
            <w:r w:rsidR="00C5081D" w:rsidRPr="00642C21">
              <w:rPr>
                <w:sz w:val="22"/>
                <w:szCs w:val="22"/>
              </w:rPr>
              <w:t xml:space="preserve">of advanced nursing practice. </w:t>
            </w:r>
          </w:p>
          <w:p w14:paraId="14FEB860" w14:textId="77777777" w:rsidR="00C5081D" w:rsidRPr="00642C21" w:rsidRDefault="00C5081D" w:rsidP="00EF0547">
            <w:pPr>
              <w:rPr>
                <w:sz w:val="22"/>
                <w:szCs w:val="22"/>
              </w:rPr>
            </w:pPr>
          </w:p>
          <w:p w14:paraId="1AA69D62" w14:textId="322508E2" w:rsidR="00EF0547" w:rsidRDefault="00EF0547" w:rsidP="00EF0547">
            <w:pPr>
              <w:rPr>
                <w:sz w:val="22"/>
                <w:szCs w:val="22"/>
              </w:rPr>
            </w:pPr>
            <w:r w:rsidRPr="00642C21">
              <w:rPr>
                <w:sz w:val="22"/>
                <w:szCs w:val="22"/>
              </w:rPr>
              <w:t xml:space="preserve">- </w:t>
            </w:r>
            <w:r w:rsidR="00C5081D" w:rsidRPr="00642C21">
              <w:rPr>
                <w:sz w:val="22"/>
                <w:szCs w:val="22"/>
              </w:rPr>
              <w:t>Promote self-awareness of body language and communication techniques using video recordings</w:t>
            </w:r>
          </w:p>
          <w:p w14:paraId="4E5BBA61" w14:textId="177A613A" w:rsidR="00EF0547" w:rsidRPr="00056B04" w:rsidRDefault="00EF0547" w:rsidP="00EF0547">
            <w:pPr>
              <w:rPr>
                <w:sz w:val="22"/>
                <w:szCs w:val="22"/>
              </w:rPr>
            </w:pPr>
          </w:p>
        </w:tc>
        <w:tc>
          <w:tcPr>
            <w:tcW w:w="2700" w:type="dxa"/>
            <w:tcBorders>
              <w:bottom w:val="single" w:sz="4" w:space="0" w:color="auto"/>
            </w:tcBorders>
          </w:tcPr>
          <w:p w14:paraId="300A0770" w14:textId="77777777" w:rsidR="00FE38DD" w:rsidRPr="00C3730D" w:rsidRDefault="00FE38DD" w:rsidP="00A659E1">
            <w:pPr>
              <w:rPr>
                <w:sz w:val="22"/>
                <w:szCs w:val="22"/>
              </w:rPr>
            </w:pPr>
            <w:r>
              <w:rPr>
                <w:sz w:val="22"/>
                <w:szCs w:val="22"/>
              </w:rPr>
              <w:lastRenderedPageBreak/>
              <w:t>Safety Attitudes Survey (Sexton, Thomas, Helmreich, 2006)</w:t>
            </w:r>
          </w:p>
        </w:tc>
        <w:tc>
          <w:tcPr>
            <w:tcW w:w="4680" w:type="dxa"/>
            <w:tcBorders>
              <w:bottom w:val="single" w:sz="4" w:space="0" w:color="auto"/>
            </w:tcBorders>
          </w:tcPr>
          <w:p w14:paraId="0BCC1242" w14:textId="77777777" w:rsidR="00FE38DD" w:rsidRPr="00642C21" w:rsidRDefault="00FE38DD" w:rsidP="00A659E1">
            <w:pPr>
              <w:rPr>
                <w:sz w:val="22"/>
                <w:szCs w:val="22"/>
              </w:rPr>
            </w:pPr>
            <w:r w:rsidRPr="00642C21">
              <w:rPr>
                <w:sz w:val="22"/>
                <w:szCs w:val="22"/>
              </w:rPr>
              <w:t>Center for Healthcare Quality and Safety</w:t>
            </w:r>
          </w:p>
          <w:p w14:paraId="2EE514CA" w14:textId="77777777" w:rsidR="00FE38DD" w:rsidRPr="00642C21" w:rsidRDefault="00337990" w:rsidP="00A659E1">
            <w:pPr>
              <w:rPr>
                <w:sz w:val="22"/>
                <w:szCs w:val="22"/>
              </w:rPr>
            </w:pPr>
            <w:hyperlink r:id="rId12" w:history="1">
              <w:r w:rsidR="00FE38DD" w:rsidRPr="00642C21">
                <w:rPr>
                  <w:rStyle w:val="Hyperlink"/>
                  <w:sz w:val="22"/>
                  <w:szCs w:val="22"/>
                </w:rPr>
                <w:t>https://med.uth.edu/chqs/survey/</w:t>
              </w:r>
            </w:hyperlink>
          </w:p>
          <w:p w14:paraId="20854943" w14:textId="77777777" w:rsidR="00FE38DD" w:rsidRPr="00642C21" w:rsidRDefault="00FE38DD" w:rsidP="00A659E1">
            <w:pPr>
              <w:rPr>
                <w:sz w:val="22"/>
                <w:szCs w:val="22"/>
              </w:rPr>
            </w:pPr>
          </w:p>
          <w:p w14:paraId="39ABF63A" w14:textId="77777777" w:rsidR="00056B04" w:rsidRPr="00642C21" w:rsidRDefault="00056B04" w:rsidP="00A659E1">
            <w:pPr>
              <w:rPr>
                <w:sz w:val="22"/>
                <w:szCs w:val="22"/>
              </w:rPr>
            </w:pPr>
          </w:p>
          <w:p w14:paraId="43A67D2E" w14:textId="77777777" w:rsidR="00124D48" w:rsidRDefault="00124D48" w:rsidP="00A659E1">
            <w:pPr>
              <w:rPr>
                <w:sz w:val="22"/>
                <w:szCs w:val="22"/>
                <w:highlight w:val="yellow"/>
              </w:rPr>
            </w:pPr>
          </w:p>
          <w:p w14:paraId="2BBC6FCD" w14:textId="77777777" w:rsidR="00124D48" w:rsidRDefault="00124D48" w:rsidP="00A659E1">
            <w:pPr>
              <w:rPr>
                <w:sz w:val="22"/>
                <w:szCs w:val="22"/>
                <w:highlight w:val="yellow"/>
              </w:rPr>
            </w:pPr>
          </w:p>
          <w:p w14:paraId="335A4F75" w14:textId="77777777" w:rsidR="00124D48" w:rsidRDefault="00124D48" w:rsidP="00A659E1">
            <w:pPr>
              <w:rPr>
                <w:sz w:val="22"/>
                <w:szCs w:val="22"/>
                <w:highlight w:val="yellow"/>
              </w:rPr>
            </w:pPr>
          </w:p>
          <w:p w14:paraId="64C87B36" w14:textId="77777777" w:rsidR="00124D48" w:rsidRDefault="00124D48" w:rsidP="00A659E1">
            <w:pPr>
              <w:rPr>
                <w:sz w:val="22"/>
                <w:szCs w:val="22"/>
                <w:highlight w:val="yellow"/>
              </w:rPr>
            </w:pPr>
          </w:p>
          <w:p w14:paraId="7901DFCA" w14:textId="77777777" w:rsidR="00124D48" w:rsidRDefault="00124D48" w:rsidP="00A659E1">
            <w:pPr>
              <w:rPr>
                <w:sz w:val="22"/>
                <w:szCs w:val="22"/>
                <w:highlight w:val="yellow"/>
              </w:rPr>
            </w:pPr>
          </w:p>
          <w:p w14:paraId="2BA76F11" w14:textId="77777777" w:rsidR="00124D48" w:rsidRDefault="00124D48" w:rsidP="00A659E1">
            <w:pPr>
              <w:rPr>
                <w:sz w:val="22"/>
                <w:szCs w:val="22"/>
                <w:highlight w:val="yellow"/>
              </w:rPr>
            </w:pPr>
          </w:p>
          <w:p w14:paraId="6C77C887" w14:textId="77777777" w:rsidR="00124D48" w:rsidRDefault="00124D48" w:rsidP="00A659E1">
            <w:pPr>
              <w:rPr>
                <w:sz w:val="22"/>
                <w:szCs w:val="22"/>
                <w:highlight w:val="yellow"/>
              </w:rPr>
            </w:pPr>
          </w:p>
          <w:p w14:paraId="35739B80" w14:textId="77777777" w:rsidR="00124D48" w:rsidRDefault="00124D48" w:rsidP="00A659E1">
            <w:pPr>
              <w:rPr>
                <w:sz w:val="22"/>
                <w:szCs w:val="22"/>
                <w:highlight w:val="yellow"/>
              </w:rPr>
            </w:pPr>
          </w:p>
          <w:p w14:paraId="2AD330CA" w14:textId="77777777" w:rsidR="00124D48" w:rsidRDefault="00124D48" w:rsidP="00A659E1">
            <w:pPr>
              <w:rPr>
                <w:sz w:val="22"/>
                <w:szCs w:val="22"/>
                <w:highlight w:val="yellow"/>
              </w:rPr>
            </w:pPr>
          </w:p>
          <w:p w14:paraId="3AA8AEBC" w14:textId="77777777" w:rsidR="00124D48" w:rsidRDefault="00124D48" w:rsidP="00A659E1">
            <w:pPr>
              <w:rPr>
                <w:sz w:val="22"/>
                <w:szCs w:val="22"/>
                <w:highlight w:val="yellow"/>
              </w:rPr>
            </w:pPr>
          </w:p>
          <w:p w14:paraId="759C37BA" w14:textId="77777777" w:rsidR="00124D48" w:rsidRDefault="00124D48" w:rsidP="00A659E1">
            <w:pPr>
              <w:rPr>
                <w:sz w:val="22"/>
                <w:szCs w:val="22"/>
                <w:highlight w:val="yellow"/>
              </w:rPr>
            </w:pPr>
          </w:p>
          <w:p w14:paraId="3F03B3D1" w14:textId="77777777" w:rsidR="00124D48" w:rsidRDefault="00124D48" w:rsidP="00A659E1">
            <w:pPr>
              <w:rPr>
                <w:sz w:val="22"/>
                <w:szCs w:val="22"/>
                <w:highlight w:val="yellow"/>
              </w:rPr>
            </w:pPr>
          </w:p>
          <w:p w14:paraId="486494DF" w14:textId="77777777" w:rsidR="00124D48" w:rsidRDefault="00124D48" w:rsidP="00A659E1">
            <w:pPr>
              <w:rPr>
                <w:sz w:val="22"/>
                <w:szCs w:val="22"/>
                <w:highlight w:val="yellow"/>
              </w:rPr>
            </w:pPr>
          </w:p>
          <w:p w14:paraId="00F1F2D3" w14:textId="398817AA" w:rsidR="00056B04" w:rsidRPr="00642C21" w:rsidRDefault="00124D48" w:rsidP="00A659E1">
            <w:pPr>
              <w:rPr>
                <w:sz w:val="22"/>
                <w:szCs w:val="22"/>
              </w:rPr>
            </w:pPr>
            <w:r w:rsidRPr="00642C21">
              <w:rPr>
                <w:sz w:val="22"/>
                <w:szCs w:val="22"/>
              </w:rPr>
              <w:t xml:space="preserve">Minnican, C., &amp; O'Toole, G. (2020). Exploring the incidence of culturally responsive communication in </w:t>
            </w:r>
            <w:r w:rsidR="00642C21">
              <w:rPr>
                <w:sz w:val="22"/>
                <w:szCs w:val="22"/>
              </w:rPr>
              <w:t>A</w:t>
            </w:r>
            <w:r w:rsidRPr="00642C21">
              <w:rPr>
                <w:sz w:val="22"/>
                <w:szCs w:val="22"/>
              </w:rPr>
              <w:t xml:space="preserve">ustralian healthcare: the first rapid review on this concept. </w:t>
            </w:r>
            <w:r w:rsidR="00642C21" w:rsidRPr="00642C21">
              <w:rPr>
                <w:i/>
                <w:iCs/>
                <w:sz w:val="22"/>
                <w:szCs w:val="22"/>
              </w:rPr>
              <w:t>BMC</w:t>
            </w:r>
            <w:r w:rsidRPr="00642C21">
              <w:rPr>
                <w:i/>
                <w:iCs/>
                <w:sz w:val="22"/>
                <w:szCs w:val="22"/>
              </w:rPr>
              <w:t xml:space="preserve"> Health Services Research</w:t>
            </w:r>
            <w:r w:rsidRPr="00642C21">
              <w:rPr>
                <w:sz w:val="22"/>
                <w:szCs w:val="22"/>
              </w:rPr>
              <w:t xml:space="preserve">, 20(1), 20–20. </w:t>
            </w:r>
            <w:hyperlink r:id="rId13" w:history="1">
              <w:r w:rsidR="00C5081D" w:rsidRPr="00642C21">
                <w:rPr>
                  <w:rStyle w:val="Hyperlink"/>
                  <w:sz w:val="22"/>
                  <w:szCs w:val="22"/>
                </w:rPr>
                <w:t>https://doi.org/10.1186/s12913-019-4859-6</w:t>
              </w:r>
            </w:hyperlink>
          </w:p>
          <w:p w14:paraId="338B1767" w14:textId="77777777" w:rsidR="00C5081D" w:rsidRPr="00642C21" w:rsidRDefault="00C5081D" w:rsidP="00A659E1">
            <w:pPr>
              <w:rPr>
                <w:color w:val="232323"/>
                <w:sz w:val="22"/>
                <w:szCs w:val="22"/>
                <w:shd w:val="clear" w:color="auto" w:fill="FFFFFF"/>
              </w:rPr>
            </w:pPr>
          </w:p>
          <w:p w14:paraId="1AA8CED5" w14:textId="5A8175A5" w:rsidR="00C5081D" w:rsidRPr="00642C21" w:rsidRDefault="00C5081D" w:rsidP="00A659E1">
            <w:pPr>
              <w:rPr>
                <w:sz w:val="22"/>
                <w:szCs w:val="22"/>
              </w:rPr>
            </w:pPr>
            <w:r w:rsidRPr="00642C21">
              <w:rPr>
                <w:color w:val="232323"/>
                <w:sz w:val="22"/>
                <w:szCs w:val="22"/>
                <w:shd w:val="clear" w:color="auto" w:fill="FFFFFF"/>
              </w:rPr>
              <w:t>Keiffer, M. , Anderson, M. , Eckhoff, D. , Blackwell, C. , Talbert, S. &amp; Parker, A. (2021). Standardizing nurse practitioner student evaluation during high-stakes clinical examinations. </w:t>
            </w:r>
            <w:r w:rsidRPr="00642C21">
              <w:rPr>
                <w:rStyle w:val="italicized-text"/>
                <w:i/>
                <w:iCs/>
                <w:color w:val="232323"/>
                <w:sz w:val="22"/>
                <w:szCs w:val="22"/>
                <w:shd w:val="clear" w:color="auto" w:fill="FFFFFF"/>
              </w:rPr>
              <w:t>Journal of the American Association of Nurse Practitioners, 33 </w:t>
            </w:r>
            <w:r w:rsidRPr="00642C21">
              <w:rPr>
                <w:color w:val="232323"/>
                <w:sz w:val="22"/>
                <w:szCs w:val="22"/>
                <w:shd w:val="clear" w:color="auto" w:fill="FFFFFF"/>
              </w:rPr>
              <w:t>(12), 1240-1246. doi: 10.1097/JXX.0000000000000514.</w:t>
            </w:r>
          </w:p>
          <w:p w14:paraId="255B66AC" w14:textId="787E26F0" w:rsidR="00C5081D" w:rsidRPr="00221A1B" w:rsidRDefault="00C5081D" w:rsidP="00A659E1">
            <w:pPr>
              <w:rPr>
                <w:sz w:val="22"/>
                <w:szCs w:val="22"/>
              </w:rPr>
            </w:pPr>
          </w:p>
        </w:tc>
      </w:tr>
    </w:tbl>
    <w:p w14:paraId="1804909A" w14:textId="77777777" w:rsidR="00FE38DD" w:rsidRPr="00CE5BCF" w:rsidRDefault="00FE38DD" w:rsidP="00A659E1">
      <w:pPr>
        <w:rPr>
          <w:sz w:val="22"/>
          <w:szCs w:val="22"/>
        </w:rPr>
      </w:pPr>
      <w:r w:rsidRPr="00CE5BCF">
        <w:rPr>
          <w:sz w:val="22"/>
          <w:szCs w:val="22"/>
        </w:rPr>
        <w:lastRenderedPageBreak/>
        <w:t>*E=entry-level; A=advanced-level</w:t>
      </w:r>
    </w:p>
    <w:p w14:paraId="022C1D0B" w14:textId="77777777" w:rsidR="00FE38DD" w:rsidRPr="00A017C7" w:rsidRDefault="00FE38DD" w:rsidP="00A659E1">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7162F234" w14:textId="77777777" w:rsidR="00FE38DD" w:rsidRDefault="00FE38DD" w:rsidP="00A659E1">
      <w:pPr>
        <w:rPr>
          <w:b/>
          <w:bCs/>
          <w:sz w:val="22"/>
          <w:szCs w:val="22"/>
        </w:rPr>
      </w:pPr>
    </w:p>
    <w:p w14:paraId="7BF2B278" w14:textId="77777777" w:rsidR="00FE38DD" w:rsidRDefault="00FE38DD" w:rsidP="00A659E1">
      <w:pPr>
        <w:rPr>
          <w:b/>
          <w:bCs/>
          <w:sz w:val="22"/>
          <w:szCs w:val="22"/>
        </w:rPr>
      </w:pPr>
    </w:p>
    <w:p w14:paraId="28B5A6FF" w14:textId="77777777" w:rsidR="00FE38DD" w:rsidRPr="00F82A1B" w:rsidRDefault="00FE38DD" w:rsidP="00A659E1">
      <w:pPr>
        <w:rPr>
          <w:b/>
          <w:bCs/>
          <w:sz w:val="22"/>
          <w:szCs w:val="22"/>
        </w:rPr>
      </w:pPr>
      <w:r>
        <w:rPr>
          <w:b/>
          <w:bCs/>
          <w:sz w:val="22"/>
          <w:szCs w:val="22"/>
        </w:rPr>
        <w:t>Domain 6. Interprofessional Partnerships</w:t>
      </w:r>
    </w:p>
    <w:tbl>
      <w:tblPr>
        <w:tblStyle w:val="TableGrid"/>
        <w:tblW w:w="14395" w:type="dxa"/>
        <w:tblLook w:val="04A0" w:firstRow="1" w:lastRow="0" w:firstColumn="1" w:lastColumn="0" w:noHBand="0" w:noVBand="1"/>
      </w:tblPr>
      <w:tblGrid>
        <w:gridCol w:w="2262"/>
        <w:gridCol w:w="2392"/>
        <w:gridCol w:w="4415"/>
        <w:gridCol w:w="5326"/>
      </w:tblGrid>
      <w:tr w:rsidR="00FE38DD" w:rsidRPr="00221A1B" w14:paraId="7B99EAA5" w14:textId="77777777" w:rsidTr="00A659E1">
        <w:tc>
          <w:tcPr>
            <w:tcW w:w="14395" w:type="dxa"/>
            <w:gridSpan w:val="4"/>
            <w:tcBorders>
              <w:bottom w:val="single" w:sz="4" w:space="0" w:color="auto"/>
            </w:tcBorders>
            <w:shd w:val="clear" w:color="auto" w:fill="D9D9D9" w:themeFill="background1" w:themeFillShade="D9"/>
          </w:tcPr>
          <w:p w14:paraId="5BD452C9" w14:textId="77777777" w:rsidR="00FE38DD" w:rsidRDefault="00FE38DD" w:rsidP="00A659E1">
            <w:pPr>
              <w:rPr>
                <w:b/>
                <w:bCs/>
                <w:sz w:val="22"/>
                <w:szCs w:val="22"/>
              </w:rPr>
            </w:pPr>
            <w:r w:rsidRPr="006E08B2">
              <w:rPr>
                <w:b/>
                <w:bCs/>
                <w:sz w:val="22"/>
                <w:szCs w:val="22"/>
              </w:rPr>
              <w:t>6.1 Communicate in a manner that facilitates a partnership approach to quality care delivery.</w:t>
            </w:r>
          </w:p>
          <w:p w14:paraId="7B78D42A" w14:textId="77777777" w:rsidR="00FE38DD" w:rsidRDefault="00FE38DD" w:rsidP="00A659E1">
            <w:pPr>
              <w:ind w:left="337"/>
              <w:rPr>
                <w:sz w:val="22"/>
                <w:szCs w:val="22"/>
              </w:rPr>
            </w:pPr>
            <w:r>
              <w:rPr>
                <w:sz w:val="22"/>
                <w:szCs w:val="22"/>
              </w:rPr>
              <w:t>6.1a Communicate the nurse’s roles and responsibilities clearly (E)</w:t>
            </w:r>
          </w:p>
          <w:p w14:paraId="657045B8" w14:textId="77777777" w:rsidR="00FE38DD" w:rsidRDefault="00FE38DD" w:rsidP="00A659E1">
            <w:pPr>
              <w:ind w:left="337"/>
              <w:rPr>
                <w:sz w:val="22"/>
                <w:szCs w:val="22"/>
              </w:rPr>
            </w:pPr>
            <w:r>
              <w:rPr>
                <w:sz w:val="22"/>
                <w:szCs w:val="22"/>
              </w:rPr>
              <w:t>6.1b Use various communication tools and techniques effectively (E)</w:t>
            </w:r>
          </w:p>
          <w:p w14:paraId="1F2F846E" w14:textId="77777777" w:rsidR="00FE38DD" w:rsidRDefault="00FE38DD" w:rsidP="00A659E1">
            <w:pPr>
              <w:ind w:left="337"/>
              <w:rPr>
                <w:sz w:val="22"/>
                <w:szCs w:val="22"/>
              </w:rPr>
            </w:pPr>
            <w:r>
              <w:rPr>
                <w:sz w:val="22"/>
                <w:szCs w:val="22"/>
              </w:rPr>
              <w:t>6.1c Elicit the perspectives of team members to inform person-centered care for decision making (E)</w:t>
            </w:r>
          </w:p>
          <w:p w14:paraId="7CF8289A" w14:textId="77777777" w:rsidR="00FE38DD" w:rsidRDefault="00FE38DD" w:rsidP="00A659E1">
            <w:pPr>
              <w:ind w:left="337"/>
              <w:rPr>
                <w:sz w:val="22"/>
                <w:szCs w:val="22"/>
              </w:rPr>
            </w:pPr>
            <w:r>
              <w:rPr>
                <w:sz w:val="22"/>
                <w:szCs w:val="22"/>
              </w:rPr>
              <w:t>6.1e Communicate individual information in a professional, accurate, and timely manner (E)</w:t>
            </w:r>
          </w:p>
          <w:p w14:paraId="573AA86F" w14:textId="77777777" w:rsidR="00FE38DD" w:rsidRDefault="00FE38DD" w:rsidP="00A659E1">
            <w:pPr>
              <w:ind w:left="337"/>
              <w:rPr>
                <w:sz w:val="22"/>
                <w:szCs w:val="22"/>
              </w:rPr>
            </w:pPr>
            <w:r>
              <w:rPr>
                <w:sz w:val="22"/>
                <w:szCs w:val="22"/>
              </w:rPr>
              <w:t>6.1g Evaluate effectiveness of interprofessional communication tools and techniques to support and improve the efficacy of team-based interactions (A)</w:t>
            </w:r>
          </w:p>
          <w:p w14:paraId="005C9A59" w14:textId="77777777" w:rsidR="00FE38DD" w:rsidRPr="0056425C" w:rsidRDefault="00FE38DD" w:rsidP="00A659E1">
            <w:pPr>
              <w:ind w:left="337"/>
              <w:rPr>
                <w:sz w:val="22"/>
                <w:szCs w:val="22"/>
              </w:rPr>
            </w:pPr>
            <w:r>
              <w:rPr>
                <w:sz w:val="22"/>
                <w:szCs w:val="22"/>
              </w:rPr>
              <w:t>6.1j Communicate nursing’s unique disciplinary knowledge to strengthen interprofessional partnerships (A)</w:t>
            </w:r>
          </w:p>
        </w:tc>
      </w:tr>
      <w:tr w:rsidR="00FE38DD" w:rsidRPr="00221A1B" w14:paraId="4E96B533" w14:textId="77777777" w:rsidTr="00A659E1">
        <w:tc>
          <w:tcPr>
            <w:tcW w:w="2785" w:type="dxa"/>
            <w:tcBorders>
              <w:bottom w:val="single" w:sz="4" w:space="0" w:color="auto"/>
            </w:tcBorders>
          </w:tcPr>
          <w:p w14:paraId="5ACBC37D" w14:textId="77777777" w:rsidR="00FE38DD" w:rsidRPr="00221A1B" w:rsidRDefault="00FE38DD" w:rsidP="00A659E1">
            <w:pPr>
              <w:rPr>
                <w:b/>
                <w:bCs/>
                <w:sz w:val="22"/>
                <w:szCs w:val="22"/>
              </w:rPr>
            </w:pPr>
            <w:r w:rsidRPr="00221A1B">
              <w:rPr>
                <w:b/>
                <w:bCs/>
                <w:sz w:val="22"/>
                <w:szCs w:val="22"/>
              </w:rPr>
              <w:t>Recommended Content</w:t>
            </w:r>
          </w:p>
        </w:tc>
        <w:tc>
          <w:tcPr>
            <w:tcW w:w="4230" w:type="dxa"/>
            <w:tcBorders>
              <w:bottom w:val="single" w:sz="4" w:space="0" w:color="auto"/>
            </w:tcBorders>
          </w:tcPr>
          <w:p w14:paraId="56176AE6" w14:textId="77777777" w:rsidR="00FE38DD" w:rsidRPr="00221A1B" w:rsidRDefault="00FE38DD" w:rsidP="00A659E1">
            <w:pPr>
              <w:rPr>
                <w:b/>
                <w:bCs/>
                <w:sz w:val="22"/>
                <w:szCs w:val="22"/>
              </w:rPr>
            </w:pPr>
            <w:r w:rsidRPr="00221A1B">
              <w:rPr>
                <w:b/>
                <w:bCs/>
                <w:sz w:val="22"/>
                <w:szCs w:val="22"/>
              </w:rPr>
              <w:t>Learning Strategies</w:t>
            </w:r>
          </w:p>
        </w:tc>
        <w:tc>
          <w:tcPr>
            <w:tcW w:w="2790" w:type="dxa"/>
            <w:tcBorders>
              <w:bottom w:val="single" w:sz="4" w:space="0" w:color="auto"/>
            </w:tcBorders>
          </w:tcPr>
          <w:p w14:paraId="5B6CE740" w14:textId="77777777" w:rsidR="00FE38DD" w:rsidRPr="00221A1B" w:rsidRDefault="00FE38DD" w:rsidP="00A659E1">
            <w:pPr>
              <w:rPr>
                <w:b/>
                <w:bCs/>
                <w:sz w:val="22"/>
                <w:szCs w:val="22"/>
              </w:rPr>
            </w:pPr>
            <w:r w:rsidRPr="00221A1B">
              <w:rPr>
                <w:b/>
                <w:bCs/>
                <w:sz w:val="22"/>
                <w:szCs w:val="22"/>
              </w:rPr>
              <w:t>Assessment</w:t>
            </w:r>
          </w:p>
        </w:tc>
        <w:tc>
          <w:tcPr>
            <w:tcW w:w="4590" w:type="dxa"/>
            <w:tcBorders>
              <w:bottom w:val="single" w:sz="4" w:space="0" w:color="auto"/>
            </w:tcBorders>
          </w:tcPr>
          <w:p w14:paraId="7BF05917" w14:textId="77777777" w:rsidR="00FE38DD" w:rsidRPr="00221A1B" w:rsidRDefault="00FE38DD" w:rsidP="00A659E1">
            <w:pPr>
              <w:rPr>
                <w:b/>
                <w:bCs/>
                <w:sz w:val="22"/>
                <w:szCs w:val="22"/>
              </w:rPr>
            </w:pPr>
            <w:r w:rsidRPr="00221A1B">
              <w:rPr>
                <w:b/>
                <w:bCs/>
                <w:sz w:val="22"/>
                <w:szCs w:val="22"/>
              </w:rPr>
              <w:t>Resources</w:t>
            </w:r>
            <w:r>
              <w:rPr>
                <w:b/>
                <w:bCs/>
                <w:sz w:val="22"/>
                <w:szCs w:val="22"/>
              </w:rPr>
              <w:t xml:space="preserve"> and References</w:t>
            </w:r>
          </w:p>
        </w:tc>
      </w:tr>
      <w:tr w:rsidR="00FE38DD" w:rsidRPr="00221A1B" w14:paraId="74B06169" w14:textId="77777777" w:rsidTr="00A659E1">
        <w:tc>
          <w:tcPr>
            <w:tcW w:w="2785" w:type="dxa"/>
            <w:tcBorders>
              <w:bottom w:val="single" w:sz="4" w:space="0" w:color="auto"/>
            </w:tcBorders>
          </w:tcPr>
          <w:p w14:paraId="06B24A76" w14:textId="77777777" w:rsidR="00FE38DD" w:rsidRPr="00BF3BDF" w:rsidRDefault="00FE38DD" w:rsidP="00A659E1">
            <w:pPr>
              <w:pStyle w:val="ListParagraph"/>
              <w:numPr>
                <w:ilvl w:val="0"/>
                <w:numId w:val="3"/>
              </w:numPr>
              <w:rPr>
                <w:rFonts w:ascii="Times New Roman" w:hAnsi="Times New Roman" w:cs="Times New Roman"/>
                <w:sz w:val="22"/>
                <w:szCs w:val="22"/>
              </w:rPr>
            </w:pPr>
            <w:r>
              <w:rPr>
                <w:rFonts w:ascii="Times New Roman" w:hAnsi="Times New Roman" w:cs="Times New Roman"/>
                <w:color w:val="000000" w:themeColor="text1"/>
                <w:sz w:val="22"/>
                <w:szCs w:val="22"/>
              </w:rPr>
              <w:t xml:space="preserve">Interprofessional model of </w:t>
            </w:r>
            <w:r>
              <w:rPr>
                <w:rFonts w:ascii="Times New Roman" w:hAnsi="Times New Roman" w:cs="Times New Roman"/>
                <w:color w:val="000000" w:themeColor="text1"/>
                <w:sz w:val="22"/>
                <w:szCs w:val="22"/>
              </w:rPr>
              <w:lastRenderedPageBreak/>
              <w:t xml:space="preserve">Communication </w:t>
            </w:r>
            <w:r>
              <w:rPr>
                <w:rFonts w:ascii="Times New Roman" w:hAnsi="Times New Roman" w:cs="Times New Roman"/>
                <w:sz w:val="22"/>
                <w:szCs w:val="22"/>
                <w:vertAlign w:val="superscript"/>
              </w:rPr>
              <w:t>a,s,k</w:t>
            </w:r>
          </w:p>
        </w:tc>
        <w:tc>
          <w:tcPr>
            <w:tcW w:w="4230" w:type="dxa"/>
            <w:tcBorders>
              <w:bottom w:val="single" w:sz="4" w:space="0" w:color="auto"/>
            </w:tcBorders>
          </w:tcPr>
          <w:p w14:paraId="00DF37AF" w14:textId="77777777" w:rsidR="00FE38DD" w:rsidRPr="009E78BA" w:rsidRDefault="00FE38DD" w:rsidP="00A659E1">
            <w:pPr>
              <w:rPr>
                <w:b/>
                <w:bCs/>
                <w:color w:val="FF0000"/>
                <w:sz w:val="22"/>
                <w:szCs w:val="22"/>
              </w:rPr>
            </w:pPr>
            <w:r w:rsidRPr="009E78BA">
              <w:rPr>
                <w:b/>
                <w:bCs/>
                <w:color w:val="FF0000"/>
                <w:sz w:val="22"/>
                <w:szCs w:val="22"/>
              </w:rPr>
              <w:lastRenderedPageBreak/>
              <w:t>Entry level:</w:t>
            </w:r>
          </w:p>
          <w:p w14:paraId="0E67EB80" w14:textId="77777777" w:rsidR="00FE38DD" w:rsidRDefault="00FE38DD" w:rsidP="00A659E1">
            <w:pPr>
              <w:rPr>
                <w:sz w:val="22"/>
                <w:szCs w:val="22"/>
              </w:rPr>
            </w:pPr>
            <w:r>
              <w:rPr>
                <w:sz w:val="22"/>
                <w:szCs w:val="22"/>
              </w:rPr>
              <w:lastRenderedPageBreak/>
              <w:t>-Share domains of the interprofessional model with accompanying quiz</w:t>
            </w:r>
          </w:p>
          <w:p w14:paraId="43C24672" w14:textId="77777777" w:rsidR="00FE38DD" w:rsidRDefault="00FE38DD" w:rsidP="00A659E1">
            <w:pPr>
              <w:rPr>
                <w:sz w:val="22"/>
                <w:szCs w:val="22"/>
              </w:rPr>
            </w:pPr>
          </w:p>
          <w:p w14:paraId="0F156A8E" w14:textId="77777777" w:rsidR="00FE38DD" w:rsidRDefault="00FE38DD" w:rsidP="00A659E1">
            <w:pPr>
              <w:rPr>
                <w:sz w:val="22"/>
                <w:szCs w:val="22"/>
              </w:rPr>
            </w:pPr>
            <w:r>
              <w:rPr>
                <w:sz w:val="22"/>
                <w:szCs w:val="22"/>
              </w:rPr>
              <w:t>-Interprofessional team role play</w:t>
            </w:r>
          </w:p>
          <w:p w14:paraId="43A5915E" w14:textId="77777777" w:rsidR="00FE38DD" w:rsidRDefault="00FE38DD" w:rsidP="00A659E1">
            <w:pPr>
              <w:rPr>
                <w:sz w:val="22"/>
                <w:szCs w:val="22"/>
              </w:rPr>
            </w:pPr>
          </w:p>
          <w:p w14:paraId="41C69D70" w14:textId="77777777" w:rsidR="00FE38DD" w:rsidRDefault="00FE38DD" w:rsidP="00A659E1">
            <w:pPr>
              <w:rPr>
                <w:sz w:val="22"/>
                <w:szCs w:val="22"/>
              </w:rPr>
            </w:pPr>
            <w:r>
              <w:rPr>
                <w:sz w:val="22"/>
                <w:szCs w:val="22"/>
              </w:rPr>
              <w:t>-Explore an unfolding case over a series of classes</w:t>
            </w:r>
          </w:p>
          <w:p w14:paraId="7B92A6CD" w14:textId="77777777" w:rsidR="00FE38DD" w:rsidRDefault="00FE38DD" w:rsidP="00A659E1">
            <w:pPr>
              <w:rPr>
                <w:sz w:val="22"/>
                <w:szCs w:val="22"/>
              </w:rPr>
            </w:pPr>
          </w:p>
          <w:p w14:paraId="441613DD" w14:textId="77777777" w:rsidR="00FE38DD" w:rsidRDefault="00FE38DD" w:rsidP="00A659E1">
            <w:pPr>
              <w:rPr>
                <w:sz w:val="22"/>
                <w:szCs w:val="22"/>
              </w:rPr>
            </w:pPr>
            <w:r>
              <w:rPr>
                <w:sz w:val="22"/>
                <w:szCs w:val="22"/>
              </w:rPr>
              <w:t>-Privacy Management and health information with families: building skills to communication amidst “secrets”</w:t>
            </w:r>
          </w:p>
          <w:p w14:paraId="1E04D5D6" w14:textId="77777777" w:rsidR="00FE38DD" w:rsidRDefault="00FE38DD" w:rsidP="00A659E1">
            <w:pPr>
              <w:rPr>
                <w:sz w:val="22"/>
                <w:szCs w:val="22"/>
              </w:rPr>
            </w:pPr>
          </w:p>
          <w:p w14:paraId="3A8C3055" w14:textId="77777777" w:rsidR="00FE38DD" w:rsidRPr="009E78BA" w:rsidRDefault="00FE38DD" w:rsidP="00A659E1">
            <w:pPr>
              <w:rPr>
                <w:b/>
                <w:bCs/>
                <w:color w:val="FF0000"/>
                <w:sz w:val="22"/>
                <w:szCs w:val="22"/>
              </w:rPr>
            </w:pPr>
            <w:r w:rsidRPr="009E78BA">
              <w:rPr>
                <w:b/>
                <w:bCs/>
                <w:color w:val="FF0000"/>
                <w:sz w:val="22"/>
                <w:szCs w:val="22"/>
              </w:rPr>
              <w:t>Advanced:</w:t>
            </w:r>
          </w:p>
          <w:p w14:paraId="2F27128F" w14:textId="77777777" w:rsidR="00FE38DD" w:rsidRDefault="00FE38DD" w:rsidP="00A659E1">
            <w:pPr>
              <w:pStyle w:val="ListParagraph"/>
              <w:ind w:left="360"/>
              <w:rPr>
                <w:rFonts w:ascii="Times New Roman" w:hAnsi="Times New Roman" w:cs="Times New Roman"/>
                <w:sz w:val="22"/>
                <w:szCs w:val="22"/>
              </w:rPr>
            </w:pPr>
          </w:p>
          <w:p w14:paraId="08FFBE16" w14:textId="77777777" w:rsidR="00FE38DD" w:rsidRDefault="00FE38DD" w:rsidP="00A659E1">
            <w:pPr>
              <w:rPr>
                <w:sz w:val="22"/>
                <w:szCs w:val="22"/>
              </w:rPr>
            </w:pPr>
            <w:r>
              <w:rPr>
                <w:sz w:val="22"/>
                <w:szCs w:val="22"/>
              </w:rPr>
              <w:t xml:space="preserve">-Tips and tools for communication with families about dying </w:t>
            </w:r>
            <w:r w:rsidRPr="009E78BA">
              <w:rPr>
                <w:sz w:val="22"/>
                <w:szCs w:val="22"/>
              </w:rPr>
              <w:t>patients</w:t>
            </w:r>
            <w:r>
              <w:rPr>
                <w:sz w:val="22"/>
                <w:szCs w:val="22"/>
              </w:rPr>
              <w:t>: exposures and idea building in small groups</w:t>
            </w:r>
          </w:p>
          <w:p w14:paraId="562C0611" w14:textId="77777777" w:rsidR="00FE38DD" w:rsidRDefault="00FE38DD" w:rsidP="00A659E1">
            <w:pPr>
              <w:rPr>
                <w:sz w:val="22"/>
                <w:szCs w:val="22"/>
              </w:rPr>
            </w:pPr>
          </w:p>
          <w:p w14:paraId="71F19D3A" w14:textId="77777777" w:rsidR="00FE38DD" w:rsidRDefault="00FE38DD" w:rsidP="00A659E1">
            <w:pPr>
              <w:rPr>
                <w:sz w:val="22"/>
                <w:szCs w:val="22"/>
              </w:rPr>
            </w:pPr>
            <w:r>
              <w:rPr>
                <w:sz w:val="22"/>
                <w:szCs w:val="22"/>
              </w:rPr>
              <w:t>-View Evan Mayday’s Good Death and the discuss team roles</w:t>
            </w:r>
          </w:p>
          <w:p w14:paraId="5D29BF37" w14:textId="77777777" w:rsidR="00FE38DD" w:rsidRDefault="00FE38DD" w:rsidP="00A659E1">
            <w:pPr>
              <w:rPr>
                <w:sz w:val="22"/>
                <w:szCs w:val="22"/>
              </w:rPr>
            </w:pPr>
          </w:p>
          <w:p w14:paraId="259998A5" w14:textId="3D94628C" w:rsidR="00FE38DD" w:rsidRDefault="00FE38DD" w:rsidP="00A659E1">
            <w:pPr>
              <w:rPr>
                <w:sz w:val="22"/>
                <w:szCs w:val="22"/>
              </w:rPr>
            </w:pPr>
            <w:r>
              <w:rPr>
                <w:sz w:val="22"/>
                <w:szCs w:val="22"/>
              </w:rPr>
              <w:t>-Students bring reports from the field that feature one domain and possible solutions in relation to the Interprofessional Model of Communication</w:t>
            </w:r>
          </w:p>
          <w:p w14:paraId="00957A04" w14:textId="77777777" w:rsidR="008B1C33" w:rsidRDefault="008B1C33" w:rsidP="00A659E1">
            <w:pPr>
              <w:rPr>
                <w:sz w:val="22"/>
                <w:szCs w:val="22"/>
              </w:rPr>
            </w:pPr>
          </w:p>
          <w:p w14:paraId="37E1463E" w14:textId="224A79BE" w:rsidR="000A2313" w:rsidRDefault="000A2313" w:rsidP="00A659E1">
            <w:pPr>
              <w:rPr>
                <w:sz w:val="22"/>
                <w:szCs w:val="22"/>
              </w:rPr>
            </w:pPr>
            <w:r w:rsidRPr="00642C21">
              <w:rPr>
                <w:sz w:val="22"/>
                <w:szCs w:val="22"/>
              </w:rPr>
              <w:t xml:space="preserve">- </w:t>
            </w:r>
            <w:r w:rsidR="00857B7F" w:rsidRPr="00642C21">
              <w:rPr>
                <w:sz w:val="22"/>
                <w:szCs w:val="22"/>
              </w:rPr>
              <w:t>Engage interprofessional</w:t>
            </w:r>
            <w:r w:rsidR="008B1C33" w:rsidRPr="00642C21">
              <w:rPr>
                <w:sz w:val="22"/>
                <w:szCs w:val="22"/>
              </w:rPr>
              <w:t xml:space="preserve"> communication through workshops using </w:t>
            </w:r>
            <w:r w:rsidR="008B1C33" w:rsidRPr="00642C21">
              <w:rPr>
                <w:sz w:val="22"/>
                <w:szCs w:val="22"/>
              </w:rPr>
              <w:lastRenderedPageBreak/>
              <w:t>simulation, technology, and communication intensive healthcare issues (caring for disabilities, trauma)</w:t>
            </w:r>
          </w:p>
          <w:p w14:paraId="1081A87E" w14:textId="77777777" w:rsidR="00FE38DD" w:rsidRPr="00221A1B" w:rsidRDefault="00FE38DD" w:rsidP="00A659E1">
            <w:pPr>
              <w:pStyle w:val="ListParagraph"/>
              <w:ind w:left="360"/>
              <w:rPr>
                <w:rFonts w:ascii="Times New Roman" w:hAnsi="Times New Roman" w:cs="Times New Roman"/>
                <w:sz w:val="22"/>
                <w:szCs w:val="22"/>
              </w:rPr>
            </w:pPr>
          </w:p>
        </w:tc>
        <w:tc>
          <w:tcPr>
            <w:tcW w:w="2790" w:type="dxa"/>
            <w:tcBorders>
              <w:bottom w:val="single" w:sz="4" w:space="0" w:color="auto"/>
            </w:tcBorders>
          </w:tcPr>
          <w:p w14:paraId="5929A63D" w14:textId="77777777" w:rsidR="00FE38DD" w:rsidRDefault="00FE38DD" w:rsidP="00A659E1">
            <w:pPr>
              <w:rPr>
                <w:sz w:val="22"/>
                <w:szCs w:val="22"/>
              </w:rPr>
            </w:pPr>
            <w:r>
              <w:rPr>
                <w:sz w:val="22"/>
                <w:szCs w:val="22"/>
              </w:rPr>
              <w:lastRenderedPageBreak/>
              <w:t>Readiness for Interprofessional Learning Scale (Curran, Sharpe, Forristall, &amp; Flynn, 2008)</w:t>
            </w:r>
          </w:p>
          <w:p w14:paraId="2DDB6267" w14:textId="77777777" w:rsidR="00FE38DD" w:rsidRDefault="00FE38DD" w:rsidP="00A659E1">
            <w:pPr>
              <w:rPr>
                <w:sz w:val="22"/>
                <w:szCs w:val="22"/>
              </w:rPr>
            </w:pPr>
          </w:p>
          <w:p w14:paraId="545AE701" w14:textId="77777777" w:rsidR="00FE38DD" w:rsidRPr="007B0328" w:rsidRDefault="00FE38DD" w:rsidP="00A659E1">
            <w:pPr>
              <w:rPr>
                <w:sz w:val="22"/>
                <w:szCs w:val="22"/>
              </w:rPr>
            </w:pPr>
            <w:r>
              <w:rPr>
                <w:sz w:val="22"/>
                <w:szCs w:val="22"/>
              </w:rPr>
              <w:lastRenderedPageBreak/>
              <w:t>KidSIM Attitudes Towards Teamwork in Training Undergoing Designed Educational Simulation (ATTITUDES; Sigalet, Donnon, Grant, 2012)</w:t>
            </w:r>
          </w:p>
        </w:tc>
        <w:tc>
          <w:tcPr>
            <w:tcW w:w="4590" w:type="dxa"/>
            <w:tcBorders>
              <w:bottom w:val="single" w:sz="4" w:space="0" w:color="auto"/>
            </w:tcBorders>
          </w:tcPr>
          <w:p w14:paraId="3E5CE62F" w14:textId="77777777" w:rsidR="00FE38DD" w:rsidRPr="00E53117" w:rsidRDefault="00FE38DD" w:rsidP="00A659E1">
            <w:pPr>
              <w:rPr>
                <w:sz w:val="22"/>
                <w:szCs w:val="22"/>
              </w:rPr>
            </w:pPr>
            <w:r w:rsidRPr="00E53117">
              <w:rPr>
                <w:sz w:val="22"/>
                <w:szCs w:val="22"/>
              </w:rPr>
              <w:lastRenderedPageBreak/>
              <w:t xml:space="preserve">Curran, V. R., Sharpe, D., Forristall, J., and Flynn, K. (2008). Attitudes of health sciences students towards </w:t>
            </w:r>
            <w:r w:rsidRPr="00E53117">
              <w:rPr>
                <w:sz w:val="22"/>
                <w:szCs w:val="22"/>
              </w:rPr>
              <w:lastRenderedPageBreak/>
              <w:t xml:space="preserve">interprofessional teamwork and education. </w:t>
            </w:r>
            <w:r w:rsidRPr="00E53117">
              <w:rPr>
                <w:i/>
                <w:iCs/>
                <w:sz w:val="22"/>
                <w:szCs w:val="22"/>
              </w:rPr>
              <w:t>Learning in Health and Social Care, 7</w:t>
            </w:r>
            <w:r w:rsidRPr="00E53117">
              <w:rPr>
                <w:sz w:val="22"/>
                <w:szCs w:val="22"/>
              </w:rPr>
              <w:t>(3), 146</w:t>
            </w:r>
            <w:r w:rsidRPr="00E53117">
              <w:rPr>
                <w:sz w:val="22"/>
                <w:szCs w:val="22"/>
              </w:rPr>
              <w:softHyphen/>
              <w:t>‐156.</w:t>
            </w:r>
          </w:p>
          <w:p w14:paraId="0CF7643B" w14:textId="77777777" w:rsidR="00FE38DD" w:rsidRDefault="00FE38DD" w:rsidP="00A659E1">
            <w:pPr>
              <w:rPr>
                <w:sz w:val="22"/>
                <w:szCs w:val="22"/>
              </w:rPr>
            </w:pPr>
          </w:p>
          <w:p w14:paraId="09CCE608" w14:textId="77777777" w:rsidR="00FE38DD" w:rsidRDefault="00FE38DD" w:rsidP="00A659E1">
            <w:pPr>
              <w:rPr>
                <w:sz w:val="22"/>
                <w:szCs w:val="22"/>
              </w:rPr>
            </w:pPr>
            <w:r>
              <w:rPr>
                <w:sz w:val="22"/>
                <w:szCs w:val="22"/>
              </w:rPr>
              <w:t>National Center for Interprofessional Practice and Education</w:t>
            </w:r>
          </w:p>
          <w:p w14:paraId="14A17609" w14:textId="77777777" w:rsidR="00FE38DD" w:rsidRDefault="00337990" w:rsidP="00A659E1">
            <w:pPr>
              <w:rPr>
                <w:sz w:val="22"/>
                <w:szCs w:val="22"/>
              </w:rPr>
            </w:pPr>
            <w:hyperlink r:id="rId14" w:history="1">
              <w:r w:rsidR="00FE38DD" w:rsidRPr="005143B6">
                <w:rPr>
                  <w:rStyle w:val="Hyperlink"/>
                  <w:sz w:val="22"/>
                  <w:szCs w:val="22"/>
                </w:rPr>
                <w:t>https://nexusipe.org/advancing/assessment-evaluation</w:t>
              </w:r>
            </w:hyperlink>
          </w:p>
          <w:p w14:paraId="733B9F38" w14:textId="77777777" w:rsidR="00FE38DD" w:rsidRDefault="00FE38DD" w:rsidP="00A659E1">
            <w:pPr>
              <w:autoSpaceDE w:val="0"/>
              <w:autoSpaceDN w:val="0"/>
              <w:adjustRightInd w:val="0"/>
              <w:rPr>
                <w:sz w:val="22"/>
                <w:szCs w:val="22"/>
              </w:rPr>
            </w:pPr>
          </w:p>
          <w:p w14:paraId="3B2BF77A" w14:textId="77777777" w:rsidR="00FC108A" w:rsidRDefault="00FC108A" w:rsidP="00A659E1">
            <w:pPr>
              <w:autoSpaceDE w:val="0"/>
              <w:autoSpaceDN w:val="0"/>
              <w:adjustRightInd w:val="0"/>
              <w:rPr>
                <w:sz w:val="22"/>
                <w:szCs w:val="22"/>
              </w:rPr>
            </w:pPr>
          </w:p>
          <w:p w14:paraId="3FF813E9" w14:textId="77777777" w:rsidR="008B1C33" w:rsidRDefault="008B1C33" w:rsidP="00A659E1">
            <w:pPr>
              <w:autoSpaceDE w:val="0"/>
              <w:autoSpaceDN w:val="0"/>
              <w:adjustRightInd w:val="0"/>
              <w:rPr>
                <w:rStyle w:val="authors"/>
                <w:color w:val="2D2E32"/>
                <w:highlight w:val="yellow"/>
                <w:shd w:val="clear" w:color="auto" w:fill="FFFFFF"/>
              </w:rPr>
            </w:pPr>
          </w:p>
          <w:p w14:paraId="1C55E1BD" w14:textId="77777777" w:rsidR="008B1C33" w:rsidRDefault="008B1C33" w:rsidP="00A659E1">
            <w:pPr>
              <w:autoSpaceDE w:val="0"/>
              <w:autoSpaceDN w:val="0"/>
              <w:adjustRightInd w:val="0"/>
              <w:rPr>
                <w:rStyle w:val="authors"/>
                <w:color w:val="2D2E32"/>
                <w:highlight w:val="yellow"/>
                <w:shd w:val="clear" w:color="auto" w:fill="FFFFFF"/>
              </w:rPr>
            </w:pPr>
          </w:p>
          <w:p w14:paraId="178CEEB0" w14:textId="77777777" w:rsidR="008B1C33" w:rsidRDefault="008B1C33" w:rsidP="00A659E1">
            <w:pPr>
              <w:autoSpaceDE w:val="0"/>
              <w:autoSpaceDN w:val="0"/>
              <w:adjustRightInd w:val="0"/>
              <w:rPr>
                <w:rStyle w:val="authors"/>
                <w:color w:val="2D2E32"/>
                <w:highlight w:val="yellow"/>
                <w:shd w:val="clear" w:color="auto" w:fill="FFFFFF"/>
              </w:rPr>
            </w:pPr>
          </w:p>
          <w:p w14:paraId="63323A03" w14:textId="77777777" w:rsidR="008B1C33" w:rsidRDefault="008B1C33" w:rsidP="00A659E1">
            <w:pPr>
              <w:autoSpaceDE w:val="0"/>
              <w:autoSpaceDN w:val="0"/>
              <w:adjustRightInd w:val="0"/>
              <w:rPr>
                <w:rStyle w:val="authors"/>
                <w:color w:val="2D2E32"/>
                <w:highlight w:val="yellow"/>
                <w:shd w:val="clear" w:color="auto" w:fill="FFFFFF"/>
              </w:rPr>
            </w:pPr>
          </w:p>
          <w:p w14:paraId="26213B8A" w14:textId="77777777" w:rsidR="008B1C33" w:rsidRDefault="008B1C33" w:rsidP="00A659E1">
            <w:pPr>
              <w:autoSpaceDE w:val="0"/>
              <w:autoSpaceDN w:val="0"/>
              <w:adjustRightInd w:val="0"/>
              <w:rPr>
                <w:rStyle w:val="authors"/>
                <w:color w:val="2D2E32"/>
                <w:highlight w:val="yellow"/>
                <w:shd w:val="clear" w:color="auto" w:fill="FFFFFF"/>
              </w:rPr>
            </w:pPr>
          </w:p>
          <w:p w14:paraId="6B3F0096" w14:textId="77777777" w:rsidR="008B1C33" w:rsidRDefault="008B1C33" w:rsidP="00A659E1">
            <w:pPr>
              <w:autoSpaceDE w:val="0"/>
              <w:autoSpaceDN w:val="0"/>
              <w:adjustRightInd w:val="0"/>
              <w:rPr>
                <w:rStyle w:val="authors"/>
                <w:color w:val="2D2E32"/>
                <w:highlight w:val="yellow"/>
                <w:shd w:val="clear" w:color="auto" w:fill="FFFFFF"/>
              </w:rPr>
            </w:pPr>
          </w:p>
          <w:p w14:paraId="7255F3B7" w14:textId="77777777" w:rsidR="008B1C33" w:rsidRDefault="008B1C33" w:rsidP="00A659E1">
            <w:pPr>
              <w:autoSpaceDE w:val="0"/>
              <w:autoSpaceDN w:val="0"/>
              <w:adjustRightInd w:val="0"/>
              <w:rPr>
                <w:rStyle w:val="authors"/>
                <w:color w:val="2D2E32"/>
                <w:highlight w:val="yellow"/>
                <w:shd w:val="clear" w:color="auto" w:fill="FFFFFF"/>
              </w:rPr>
            </w:pPr>
          </w:p>
          <w:p w14:paraId="7FFA8FBB" w14:textId="77777777" w:rsidR="008B1C33" w:rsidRDefault="008B1C33" w:rsidP="00A659E1">
            <w:pPr>
              <w:autoSpaceDE w:val="0"/>
              <w:autoSpaceDN w:val="0"/>
              <w:adjustRightInd w:val="0"/>
              <w:rPr>
                <w:rStyle w:val="authors"/>
                <w:color w:val="2D2E32"/>
                <w:highlight w:val="yellow"/>
                <w:shd w:val="clear" w:color="auto" w:fill="FFFFFF"/>
              </w:rPr>
            </w:pPr>
          </w:p>
          <w:p w14:paraId="384A241D" w14:textId="77777777" w:rsidR="008B1C33" w:rsidRDefault="008B1C33" w:rsidP="00A659E1">
            <w:pPr>
              <w:autoSpaceDE w:val="0"/>
              <w:autoSpaceDN w:val="0"/>
              <w:adjustRightInd w:val="0"/>
              <w:rPr>
                <w:rStyle w:val="authors"/>
                <w:color w:val="2D2E32"/>
                <w:highlight w:val="yellow"/>
                <w:shd w:val="clear" w:color="auto" w:fill="FFFFFF"/>
              </w:rPr>
            </w:pPr>
          </w:p>
          <w:p w14:paraId="498AB74C" w14:textId="77777777" w:rsidR="008B1C33" w:rsidRDefault="008B1C33" w:rsidP="00A659E1">
            <w:pPr>
              <w:autoSpaceDE w:val="0"/>
              <w:autoSpaceDN w:val="0"/>
              <w:adjustRightInd w:val="0"/>
              <w:rPr>
                <w:rStyle w:val="authors"/>
                <w:color w:val="2D2E32"/>
                <w:highlight w:val="yellow"/>
                <w:shd w:val="clear" w:color="auto" w:fill="FFFFFF"/>
              </w:rPr>
            </w:pPr>
          </w:p>
          <w:p w14:paraId="39F0DD1E" w14:textId="77777777" w:rsidR="008B1C33" w:rsidRDefault="008B1C33" w:rsidP="00A659E1">
            <w:pPr>
              <w:autoSpaceDE w:val="0"/>
              <w:autoSpaceDN w:val="0"/>
              <w:adjustRightInd w:val="0"/>
              <w:rPr>
                <w:rStyle w:val="authors"/>
                <w:color w:val="2D2E32"/>
                <w:highlight w:val="yellow"/>
                <w:shd w:val="clear" w:color="auto" w:fill="FFFFFF"/>
              </w:rPr>
            </w:pPr>
          </w:p>
          <w:p w14:paraId="35C458BE" w14:textId="77777777" w:rsidR="008B1C33" w:rsidRDefault="008B1C33" w:rsidP="00A659E1">
            <w:pPr>
              <w:autoSpaceDE w:val="0"/>
              <w:autoSpaceDN w:val="0"/>
              <w:adjustRightInd w:val="0"/>
              <w:rPr>
                <w:rStyle w:val="authors"/>
                <w:color w:val="2D2E32"/>
                <w:highlight w:val="yellow"/>
                <w:shd w:val="clear" w:color="auto" w:fill="FFFFFF"/>
              </w:rPr>
            </w:pPr>
          </w:p>
          <w:p w14:paraId="6C395797" w14:textId="77777777" w:rsidR="008B1C33" w:rsidRDefault="008B1C33" w:rsidP="00A659E1">
            <w:pPr>
              <w:autoSpaceDE w:val="0"/>
              <w:autoSpaceDN w:val="0"/>
              <w:adjustRightInd w:val="0"/>
              <w:rPr>
                <w:rStyle w:val="authors"/>
                <w:color w:val="2D2E32"/>
                <w:highlight w:val="yellow"/>
                <w:shd w:val="clear" w:color="auto" w:fill="FFFFFF"/>
              </w:rPr>
            </w:pPr>
          </w:p>
          <w:p w14:paraId="73D42F0F" w14:textId="77777777" w:rsidR="008B1C33" w:rsidRDefault="008B1C33" w:rsidP="00A659E1">
            <w:pPr>
              <w:autoSpaceDE w:val="0"/>
              <w:autoSpaceDN w:val="0"/>
              <w:adjustRightInd w:val="0"/>
              <w:rPr>
                <w:rStyle w:val="authors"/>
                <w:color w:val="2D2E32"/>
                <w:highlight w:val="yellow"/>
                <w:shd w:val="clear" w:color="auto" w:fill="FFFFFF"/>
              </w:rPr>
            </w:pPr>
          </w:p>
          <w:p w14:paraId="5AAC358E" w14:textId="77777777" w:rsidR="008B1C33" w:rsidRDefault="008B1C33" w:rsidP="00A659E1">
            <w:pPr>
              <w:autoSpaceDE w:val="0"/>
              <w:autoSpaceDN w:val="0"/>
              <w:adjustRightInd w:val="0"/>
              <w:rPr>
                <w:rStyle w:val="authors"/>
                <w:color w:val="2D2E32"/>
                <w:highlight w:val="yellow"/>
                <w:shd w:val="clear" w:color="auto" w:fill="FFFFFF"/>
              </w:rPr>
            </w:pPr>
          </w:p>
          <w:p w14:paraId="67245CBE" w14:textId="77777777" w:rsidR="008B1C33" w:rsidRDefault="008B1C33" w:rsidP="00A659E1">
            <w:pPr>
              <w:autoSpaceDE w:val="0"/>
              <w:autoSpaceDN w:val="0"/>
              <w:adjustRightInd w:val="0"/>
              <w:rPr>
                <w:rStyle w:val="authors"/>
                <w:color w:val="2D2E32"/>
                <w:highlight w:val="yellow"/>
                <w:shd w:val="clear" w:color="auto" w:fill="FFFFFF"/>
              </w:rPr>
            </w:pPr>
          </w:p>
          <w:p w14:paraId="142546D4" w14:textId="77777777" w:rsidR="008B1C33" w:rsidRDefault="008B1C33" w:rsidP="00A659E1">
            <w:pPr>
              <w:autoSpaceDE w:val="0"/>
              <w:autoSpaceDN w:val="0"/>
              <w:adjustRightInd w:val="0"/>
              <w:rPr>
                <w:rStyle w:val="authors"/>
                <w:color w:val="2D2E32"/>
                <w:highlight w:val="yellow"/>
                <w:shd w:val="clear" w:color="auto" w:fill="FFFFFF"/>
              </w:rPr>
            </w:pPr>
          </w:p>
          <w:p w14:paraId="26762583" w14:textId="77777777" w:rsidR="008B1C33" w:rsidRDefault="008B1C33" w:rsidP="00A659E1">
            <w:pPr>
              <w:autoSpaceDE w:val="0"/>
              <w:autoSpaceDN w:val="0"/>
              <w:adjustRightInd w:val="0"/>
              <w:rPr>
                <w:rStyle w:val="authors"/>
                <w:color w:val="2D2E32"/>
                <w:highlight w:val="yellow"/>
                <w:shd w:val="clear" w:color="auto" w:fill="FFFFFF"/>
              </w:rPr>
            </w:pPr>
          </w:p>
          <w:p w14:paraId="4E099799" w14:textId="77777777" w:rsidR="008B1C33" w:rsidRDefault="008B1C33" w:rsidP="00A659E1">
            <w:pPr>
              <w:autoSpaceDE w:val="0"/>
              <w:autoSpaceDN w:val="0"/>
              <w:adjustRightInd w:val="0"/>
              <w:rPr>
                <w:rStyle w:val="authors"/>
                <w:color w:val="2D2E32"/>
                <w:highlight w:val="yellow"/>
                <w:shd w:val="clear" w:color="auto" w:fill="FFFFFF"/>
              </w:rPr>
            </w:pPr>
          </w:p>
          <w:p w14:paraId="4D0CF3D9" w14:textId="77777777" w:rsidR="008B1C33" w:rsidRDefault="008B1C33" w:rsidP="00A659E1">
            <w:pPr>
              <w:autoSpaceDE w:val="0"/>
              <w:autoSpaceDN w:val="0"/>
              <w:adjustRightInd w:val="0"/>
              <w:rPr>
                <w:rStyle w:val="authors"/>
                <w:color w:val="2D2E32"/>
                <w:highlight w:val="yellow"/>
                <w:shd w:val="clear" w:color="auto" w:fill="FFFFFF"/>
              </w:rPr>
            </w:pPr>
          </w:p>
          <w:p w14:paraId="0C345ABE" w14:textId="534C4E1F" w:rsidR="00FC108A" w:rsidRPr="00642C21" w:rsidRDefault="00857B7F" w:rsidP="00A659E1">
            <w:pPr>
              <w:autoSpaceDE w:val="0"/>
              <w:autoSpaceDN w:val="0"/>
              <w:adjustRightInd w:val="0"/>
              <w:rPr>
                <w:rStyle w:val="doi"/>
                <w:color w:val="2D2E32"/>
                <w:sz w:val="22"/>
                <w:szCs w:val="22"/>
                <w:shd w:val="clear" w:color="auto" w:fill="FFFFFF"/>
              </w:rPr>
            </w:pPr>
            <w:r w:rsidRPr="00642C21">
              <w:rPr>
                <w:rStyle w:val="authors"/>
                <w:color w:val="2D2E32"/>
                <w:sz w:val="22"/>
                <w:szCs w:val="22"/>
                <w:shd w:val="clear" w:color="auto" w:fill="FFFFFF"/>
              </w:rPr>
              <w:t>Bok, C., Ng, C.H., Koh, J.W.H., Ong, Z.H., Ghazali, H.Z.B., Tan, L.H.E., Ong, Y.T., Cheong, C.W.S., Chin, A.M.C., Mason, S., &amp; Krishna, L.K.R.</w:t>
            </w:r>
            <w:r w:rsidRPr="00642C21">
              <w:rPr>
                <w:rStyle w:val="dop"/>
                <w:color w:val="2D2E32"/>
                <w:sz w:val="22"/>
                <w:szCs w:val="22"/>
                <w:shd w:val="clear" w:color="auto" w:fill="FFFFFF"/>
              </w:rPr>
              <w:t> (2020, October 16). </w:t>
            </w:r>
            <w:r w:rsidRPr="00642C21">
              <w:rPr>
                <w:rStyle w:val="item-title"/>
                <w:color w:val="2D2E32"/>
                <w:sz w:val="22"/>
                <w:szCs w:val="22"/>
                <w:shd w:val="clear" w:color="auto" w:fill="FFFFFF"/>
              </w:rPr>
              <w:t>Interprofessional communication (IPC) for medical students: A scoping review.</w:t>
            </w:r>
            <w:r w:rsidRPr="00642C21">
              <w:rPr>
                <w:i/>
                <w:iCs/>
                <w:color w:val="2D2E32"/>
                <w:sz w:val="22"/>
                <w:szCs w:val="22"/>
                <w:shd w:val="clear" w:color="auto" w:fill="FFFFFF"/>
              </w:rPr>
              <w:t> BMC Medical Education</w:t>
            </w:r>
            <w:r w:rsidRPr="00642C21">
              <w:rPr>
                <w:rStyle w:val="volissue"/>
                <w:color w:val="2D2E32"/>
                <w:sz w:val="22"/>
                <w:szCs w:val="22"/>
                <w:shd w:val="clear" w:color="auto" w:fill="FFFFFF"/>
              </w:rPr>
              <w:t>, </w:t>
            </w:r>
            <w:r w:rsidRPr="00642C21">
              <w:rPr>
                <w:rStyle w:val="volissue"/>
                <w:i/>
                <w:iCs/>
                <w:color w:val="2D2E32"/>
                <w:sz w:val="22"/>
                <w:szCs w:val="22"/>
                <w:shd w:val="clear" w:color="auto" w:fill="FFFFFF"/>
              </w:rPr>
              <w:t>20</w:t>
            </w:r>
            <w:r w:rsidRPr="00642C21">
              <w:rPr>
                <w:rStyle w:val="volissue"/>
                <w:color w:val="2D2E32"/>
                <w:sz w:val="22"/>
                <w:szCs w:val="22"/>
                <w:shd w:val="clear" w:color="auto" w:fill="FFFFFF"/>
              </w:rPr>
              <w:t>(1)</w:t>
            </w:r>
            <w:r w:rsidRPr="00642C21">
              <w:rPr>
                <w:color w:val="2D2E32"/>
                <w:sz w:val="22"/>
                <w:szCs w:val="22"/>
                <w:shd w:val="clear" w:color="auto" w:fill="FFFFFF"/>
              </w:rPr>
              <w:t>.</w:t>
            </w:r>
            <w:r w:rsidRPr="00642C21">
              <w:rPr>
                <w:rStyle w:val="doi"/>
                <w:color w:val="2D2E32"/>
                <w:sz w:val="22"/>
                <w:szCs w:val="22"/>
                <w:shd w:val="clear" w:color="auto" w:fill="FFFFFF"/>
              </w:rPr>
              <w:t> </w:t>
            </w:r>
            <w:hyperlink r:id="rId15" w:history="1">
              <w:r w:rsidR="005B1172" w:rsidRPr="00642C21">
                <w:rPr>
                  <w:rStyle w:val="Hyperlink"/>
                  <w:sz w:val="22"/>
                  <w:szCs w:val="22"/>
                  <w:shd w:val="clear" w:color="auto" w:fill="FFFFFF"/>
                </w:rPr>
                <w:t>https://doi.org/10.1186/s12909-020-02296-x</w:t>
              </w:r>
            </w:hyperlink>
          </w:p>
          <w:p w14:paraId="4D537C67" w14:textId="77777777" w:rsidR="00EC2461" w:rsidRPr="00642C21" w:rsidRDefault="00EC2461" w:rsidP="00A659E1">
            <w:pPr>
              <w:autoSpaceDE w:val="0"/>
              <w:autoSpaceDN w:val="0"/>
              <w:adjustRightInd w:val="0"/>
              <w:rPr>
                <w:rStyle w:val="doi"/>
                <w:color w:val="2D2E32"/>
                <w:sz w:val="22"/>
                <w:szCs w:val="22"/>
                <w:shd w:val="clear" w:color="auto" w:fill="FFFFFF"/>
              </w:rPr>
            </w:pPr>
          </w:p>
          <w:p w14:paraId="05DE048C" w14:textId="77777777" w:rsidR="00EC2461" w:rsidRDefault="00EC2461" w:rsidP="00A659E1">
            <w:pPr>
              <w:autoSpaceDE w:val="0"/>
              <w:autoSpaceDN w:val="0"/>
              <w:adjustRightInd w:val="0"/>
              <w:rPr>
                <w:rStyle w:val="doi"/>
                <w:color w:val="2D2E32"/>
                <w:shd w:val="clear" w:color="auto" w:fill="FFFFFF"/>
              </w:rPr>
            </w:pPr>
          </w:p>
          <w:p w14:paraId="76245246" w14:textId="77777777" w:rsidR="00EC2461" w:rsidRDefault="00EC2461" w:rsidP="00A659E1">
            <w:pPr>
              <w:autoSpaceDE w:val="0"/>
              <w:autoSpaceDN w:val="0"/>
              <w:adjustRightInd w:val="0"/>
              <w:rPr>
                <w:rStyle w:val="doi"/>
                <w:color w:val="2D2E32"/>
                <w:shd w:val="clear" w:color="auto" w:fill="FFFFFF"/>
              </w:rPr>
            </w:pPr>
          </w:p>
          <w:p w14:paraId="315DE01E" w14:textId="500A842E" w:rsidR="00EC2461" w:rsidRPr="00642C21" w:rsidRDefault="00EC2461" w:rsidP="00A659E1">
            <w:pPr>
              <w:autoSpaceDE w:val="0"/>
              <w:autoSpaceDN w:val="0"/>
              <w:adjustRightInd w:val="0"/>
              <w:rPr>
                <w:rStyle w:val="doi"/>
                <w:color w:val="2D2E32"/>
                <w:sz w:val="22"/>
                <w:szCs w:val="22"/>
                <w:shd w:val="clear" w:color="auto" w:fill="FFFFFF"/>
              </w:rPr>
            </w:pPr>
            <w:r w:rsidRPr="00642C21">
              <w:rPr>
                <w:rStyle w:val="doi"/>
                <w:color w:val="2D2E32"/>
                <w:sz w:val="22"/>
                <w:szCs w:val="22"/>
                <w:shd w:val="clear" w:color="auto" w:fill="FFFFFF"/>
              </w:rPr>
              <w:t xml:space="preserve">Strunk, J., Argenbright, C., Leisen, M., Sawin, E. M., Kiser, T., </w:t>
            </w:r>
            <w:r w:rsidR="00642C21" w:rsidRPr="00642C21">
              <w:rPr>
                <w:rStyle w:val="doi"/>
                <w:color w:val="2D2E32"/>
                <w:sz w:val="22"/>
                <w:szCs w:val="22"/>
                <w:shd w:val="clear" w:color="auto" w:fill="FFFFFF"/>
              </w:rPr>
              <w:t>&amp;</w:t>
            </w:r>
            <w:r w:rsidRPr="00642C21">
              <w:rPr>
                <w:rStyle w:val="doi"/>
                <w:color w:val="2D2E32"/>
                <w:sz w:val="22"/>
                <w:szCs w:val="22"/>
                <w:shd w:val="clear" w:color="auto" w:fill="FFFFFF"/>
              </w:rPr>
              <w:t xml:space="preserve"> Donovan, L. (2021). Using simulation to </w:t>
            </w:r>
            <w:r w:rsidRPr="00642C21">
              <w:rPr>
                <w:rStyle w:val="doi"/>
                <w:color w:val="2D2E32"/>
                <w:sz w:val="22"/>
                <w:szCs w:val="22"/>
                <w:shd w:val="clear" w:color="auto" w:fill="FFFFFF"/>
              </w:rPr>
              <w:lastRenderedPageBreak/>
              <w:t>educate students about the culture of disability. Nursing, 51(6), 16–19. https://doi.org/10.1097/01.NURSE.0000751748.02102.81</w:t>
            </w:r>
          </w:p>
          <w:p w14:paraId="49ACB64D" w14:textId="77777777" w:rsidR="005B1172" w:rsidRPr="00642C21" w:rsidRDefault="005B1172" w:rsidP="00A659E1">
            <w:pPr>
              <w:autoSpaceDE w:val="0"/>
              <w:autoSpaceDN w:val="0"/>
              <w:adjustRightInd w:val="0"/>
              <w:rPr>
                <w:rStyle w:val="doi"/>
                <w:color w:val="2D2E32"/>
                <w:sz w:val="22"/>
                <w:szCs w:val="22"/>
                <w:shd w:val="clear" w:color="auto" w:fill="FFFFFF"/>
              </w:rPr>
            </w:pPr>
          </w:p>
          <w:p w14:paraId="1139E26E" w14:textId="5B70C624" w:rsidR="005B1172" w:rsidRPr="00857B7F" w:rsidRDefault="005B1172" w:rsidP="00A659E1">
            <w:pPr>
              <w:autoSpaceDE w:val="0"/>
              <w:autoSpaceDN w:val="0"/>
              <w:adjustRightInd w:val="0"/>
            </w:pPr>
          </w:p>
        </w:tc>
      </w:tr>
      <w:tr w:rsidR="00FE38DD" w:rsidRPr="00221A1B" w14:paraId="3B1033E7" w14:textId="77777777" w:rsidTr="00A659E1">
        <w:tc>
          <w:tcPr>
            <w:tcW w:w="14395" w:type="dxa"/>
            <w:gridSpan w:val="4"/>
            <w:tcBorders>
              <w:bottom w:val="single" w:sz="4" w:space="0" w:color="auto"/>
            </w:tcBorders>
            <w:shd w:val="clear" w:color="auto" w:fill="D9D9D9" w:themeFill="background1" w:themeFillShade="D9"/>
          </w:tcPr>
          <w:p w14:paraId="2D95F5FA" w14:textId="77777777" w:rsidR="00FE38DD" w:rsidRDefault="00FE38DD" w:rsidP="00A659E1">
            <w:pPr>
              <w:rPr>
                <w:b/>
                <w:bCs/>
                <w:sz w:val="22"/>
                <w:szCs w:val="22"/>
              </w:rPr>
            </w:pPr>
            <w:r w:rsidRPr="006E08B2">
              <w:rPr>
                <w:b/>
                <w:bCs/>
                <w:sz w:val="22"/>
                <w:szCs w:val="22"/>
              </w:rPr>
              <w:lastRenderedPageBreak/>
              <w:t>6.2 Perform effectively in different team roles, using principles and values of team dynamics.</w:t>
            </w:r>
          </w:p>
          <w:p w14:paraId="6D0A42F9" w14:textId="77777777" w:rsidR="00FE38DD" w:rsidRDefault="00FE38DD" w:rsidP="00A659E1">
            <w:pPr>
              <w:ind w:left="337"/>
              <w:rPr>
                <w:sz w:val="22"/>
                <w:szCs w:val="22"/>
              </w:rPr>
            </w:pPr>
            <w:r>
              <w:rPr>
                <w:sz w:val="22"/>
                <w:szCs w:val="22"/>
              </w:rPr>
              <w:t>6.2a Apply principles of team dynamics, including team roles, to facilitate effective team functioning (E)</w:t>
            </w:r>
          </w:p>
          <w:p w14:paraId="3DB82B6A" w14:textId="77777777" w:rsidR="00FE38DD" w:rsidRDefault="00FE38DD" w:rsidP="00A659E1">
            <w:pPr>
              <w:ind w:left="337"/>
              <w:rPr>
                <w:sz w:val="22"/>
                <w:szCs w:val="22"/>
              </w:rPr>
            </w:pPr>
            <w:r>
              <w:rPr>
                <w:sz w:val="22"/>
                <w:szCs w:val="22"/>
              </w:rPr>
              <w:t>6.2h Evaluate the impact of team dynamics and performance on desired outcomes (A)</w:t>
            </w:r>
          </w:p>
          <w:p w14:paraId="5D665D25" w14:textId="77777777" w:rsidR="00FE38DD" w:rsidRPr="00221A1B" w:rsidRDefault="00FE38DD" w:rsidP="00A659E1">
            <w:pPr>
              <w:ind w:left="337"/>
              <w:rPr>
                <w:sz w:val="22"/>
                <w:szCs w:val="22"/>
              </w:rPr>
            </w:pPr>
            <w:r>
              <w:rPr>
                <w:sz w:val="22"/>
                <w:szCs w:val="22"/>
              </w:rPr>
              <w:t>6.2j Foster positive team dynamics to strengthen desired outcomes (A)</w:t>
            </w:r>
          </w:p>
        </w:tc>
      </w:tr>
      <w:tr w:rsidR="00FE38DD" w:rsidRPr="00221A1B" w14:paraId="603947A4" w14:textId="77777777" w:rsidTr="00A659E1">
        <w:tc>
          <w:tcPr>
            <w:tcW w:w="2785" w:type="dxa"/>
            <w:tcBorders>
              <w:bottom w:val="single" w:sz="4" w:space="0" w:color="auto"/>
            </w:tcBorders>
          </w:tcPr>
          <w:p w14:paraId="77A3E820" w14:textId="77777777" w:rsidR="00FE38DD" w:rsidRPr="00F82A1B" w:rsidRDefault="00FE38DD" w:rsidP="00A659E1">
            <w:pPr>
              <w:rPr>
                <w:sz w:val="22"/>
                <w:szCs w:val="22"/>
              </w:rPr>
            </w:pPr>
            <w:r w:rsidRPr="00F82A1B">
              <w:rPr>
                <w:b/>
                <w:bCs/>
                <w:sz w:val="22"/>
                <w:szCs w:val="22"/>
              </w:rPr>
              <w:t>Recommended Content</w:t>
            </w:r>
          </w:p>
        </w:tc>
        <w:tc>
          <w:tcPr>
            <w:tcW w:w="4230" w:type="dxa"/>
            <w:tcBorders>
              <w:bottom w:val="single" w:sz="4" w:space="0" w:color="auto"/>
            </w:tcBorders>
          </w:tcPr>
          <w:p w14:paraId="660D1134" w14:textId="77777777" w:rsidR="00FE38DD" w:rsidRPr="00F82A1B" w:rsidRDefault="00FE38DD" w:rsidP="00A659E1">
            <w:pPr>
              <w:rPr>
                <w:sz w:val="22"/>
                <w:szCs w:val="22"/>
              </w:rPr>
            </w:pPr>
            <w:r w:rsidRPr="00F82A1B">
              <w:rPr>
                <w:b/>
                <w:bCs/>
                <w:sz w:val="22"/>
                <w:szCs w:val="22"/>
              </w:rPr>
              <w:t>Learning Strategies</w:t>
            </w:r>
          </w:p>
        </w:tc>
        <w:tc>
          <w:tcPr>
            <w:tcW w:w="2790" w:type="dxa"/>
            <w:tcBorders>
              <w:bottom w:val="single" w:sz="4" w:space="0" w:color="auto"/>
            </w:tcBorders>
          </w:tcPr>
          <w:p w14:paraId="1E59E237" w14:textId="77777777" w:rsidR="00FE38DD" w:rsidRPr="00F82A1B" w:rsidRDefault="00FE38DD" w:rsidP="00A659E1">
            <w:pPr>
              <w:rPr>
                <w:sz w:val="22"/>
                <w:szCs w:val="22"/>
              </w:rPr>
            </w:pPr>
            <w:r w:rsidRPr="00F82A1B">
              <w:rPr>
                <w:b/>
                <w:bCs/>
                <w:sz w:val="22"/>
                <w:szCs w:val="22"/>
              </w:rPr>
              <w:t>Assessment</w:t>
            </w:r>
          </w:p>
        </w:tc>
        <w:tc>
          <w:tcPr>
            <w:tcW w:w="4590" w:type="dxa"/>
            <w:tcBorders>
              <w:bottom w:val="single" w:sz="4" w:space="0" w:color="auto"/>
            </w:tcBorders>
          </w:tcPr>
          <w:p w14:paraId="79482827" w14:textId="77777777" w:rsidR="00FE38DD" w:rsidRPr="00221A1B" w:rsidRDefault="00FE38DD" w:rsidP="00A659E1">
            <w:pPr>
              <w:rPr>
                <w:i/>
                <w:iCs/>
                <w:sz w:val="22"/>
                <w:szCs w:val="22"/>
              </w:rPr>
            </w:pPr>
            <w:r w:rsidRPr="00221A1B">
              <w:rPr>
                <w:b/>
                <w:bCs/>
                <w:sz w:val="22"/>
                <w:szCs w:val="22"/>
              </w:rPr>
              <w:t>Resources</w:t>
            </w:r>
            <w:r>
              <w:rPr>
                <w:b/>
                <w:bCs/>
                <w:sz w:val="22"/>
                <w:szCs w:val="22"/>
              </w:rPr>
              <w:t xml:space="preserve"> and References</w:t>
            </w:r>
          </w:p>
        </w:tc>
      </w:tr>
      <w:tr w:rsidR="00FE38DD" w:rsidRPr="00221A1B" w14:paraId="1F38F58A" w14:textId="77777777" w:rsidTr="00A659E1">
        <w:tc>
          <w:tcPr>
            <w:tcW w:w="2785" w:type="dxa"/>
            <w:tcBorders>
              <w:bottom w:val="single" w:sz="4" w:space="0" w:color="auto"/>
            </w:tcBorders>
          </w:tcPr>
          <w:p w14:paraId="107E58F0" w14:textId="77777777" w:rsidR="00FE38DD" w:rsidRPr="00F82A1B" w:rsidRDefault="00FE38DD" w:rsidP="00A659E1">
            <w:pPr>
              <w:pStyle w:val="ListParagraph"/>
              <w:numPr>
                <w:ilvl w:val="0"/>
                <w:numId w:val="3"/>
              </w:numPr>
              <w:rPr>
                <w:rFonts w:ascii="Times New Roman" w:hAnsi="Times New Roman" w:cs="Times New Roman"/>
                <w:sz w:val="22"/>
                <w:szCs w:val="22"/>
              </w:rPr>
            </w:pPr>
            <w:r w:rsidRPr="00F82A1B">
              <w:rPr>
                <w:rFonts w:ascii="Times New Roman" w:hAnsi="Times New Roman" w:cs="Times New Roman"/>
                <w:sz w:val="22"/>
                <w:szCs w:val="22"/>
              </w:rPr>
              <w:t>Groupthink</w:t>
            </w:r>
            <w:r w:rsidRPr="00F82A1B">
              <w:rPr>
                <w:rFonts w:ascii="Times New Roman" w:hAnsi="Times New Roman" w:cs="Times New Roman"/>
                <w:sz w:val="22"/>
                <w:szCs w:val="22"/>
                <w:vertAlign w:val="superscript"/>
              </w:rPr>
              <w:t xml:space="preserve"> s,k</w:t>
            </w:r>
          </w:p>
        </w:tc>
        <w:tc>
          <w:tcPr>
            <w:tcW w:w="4230" w:type="dxa"/>
            <w:tcBorders>
              <w:bottom w:val="single" w:sz="4" w:space="0" w:color="auto"/>
            </w:tcBorders>
          </w:tcPr>
          <w:p w14:paraId="5A26BA6A" w14:textId="77777777" w:rsidR="00FE38DD" w:rsidRDefault="00FE38DD" w:rsidP="00A659E1">
            <w:pPr>
              <w:rPr>
                <w:b/>
                <w:bCs/>
                <w:color w:val="FF0000"/>
                <w:sz w:val="22"/>
                <w:szCs w:val="22"/>
              </w:rPr>
            </w:pPr>
            <w:r w:rsidRPr="00EF5117">
              <w:rPr>
                <w:b/>
                <w:bCs/>
                <w:color w:val="FF0000"/>
                <w:sz w:val="22"/>
                <w:szCs w:val="22"/>
              </w:rPr>
              <w:t>Entry Level:</w:t>
            </w:r>
          </w:p>
          <w:p w14:paraId="1ACA5C70" w14:textId="77777777" w:rsidR="00FE38DD" w:rsidRDefault="00FE38DD" w:rsidP="00A659E1">
            <w:pPr>
              <w:rPr>
                <w:b/>
                <w:bCs/>
                <w:color w:val="FF0000"/>
                <w:sz w:val="22"/>
                <w:szCs w:val="22"/>
              </w:rPr>
            </w:pPr>
          </w:p>
          <w:p w14:paraId="6048E5B0" w14:textId="77777777" w:rsidR="00FE38DD" w:rsidRDefault="00FE38DD" w:rsidP="00A659E1">
            <w:pPr>
              <w:rPr>
                <w:color w:val="000000" w:themeColor="text1"/>
                <w:sz w:val="22"/>
                <w:szCs w:val="22"/>
              </w:rPr>
            </w:pPr>
            <w:r>
              <w:rPr>
                <w:color w:val="000000" w:themeColor="text1"/>
                <w:sz w:val="22"/>
                <w:szCs w:val="22"/>
              </w:rPr>
              <w:t>-View 12 Angry Men and discuss the concept of Groupthink</w:t>
            </w:r>
          </w:p>
          <w:p w14:paraId="67A08932" w14:textId="77777777" w:rsidR="00FE38DD" w:rsidRDefault="00FE38DD" w:rsidP="00A659E1">
            <w:pPr>
              <w:rPr>
                <w:color w:val="000000" w:themeColor="text1"/>
                <w:sz w:val="22"/>
                <w:szCs w:val="22"/>
              </w:rPr>
            </w:pPr>
          </w:p>
          <w:p w14:paraId="14BC3176" w14:textId="77777777" w:rsidR="00FE38DD" w:rsidRPr="00704383" w:rsidRDefault="00FE38DD" w:rsidP="00A659E1">
            <w:pPr>
              <w:rPr>
                <w:color w:val="000000" w:themeColor="text1"/>
                <w:sz w:val="22"/>
                <w:szCs w:val="22"/>
              </w:rPr>
            </w:pPr>
            <w:r>
              <w:rPr>
                <w:color w:val="000000" w:themeColor="text1"/>
                <w:sz w:val="22"/>
                <w:szCs w:val="22"/>
              </w:rPr>
              <w:t>-Share state of the science on team meeting elements, goals, practices</w:t>
            </w:r>
          </w:p>
          <w:p w14:paraId="12C23DBB" w14:textId="77777777" w:rsidR="00FE38DD" w:rsidRDefault="00FE38DD" w:rsidP="00A659E1">
            <w:pPr>
              <w:rPr>
                <w:sz w:val="22"/>
                <w:szCs w:val="22"/>
              </w:rPr>
            </w:pPr>
          </w:p>
          <w:p w14:paraId="40C6FBCF" w14:textId="77777777" w:rsidR="00FE38DD" w:rsidRDefault="00FE38DD" w:rsidP="00A659E1">
            <w:pPr>
              <w:rPr>
                <w:sz w:val="22"/>
                <w:szCs w:val="22"/>
              </w:rPr>
            </w:pPr>
          </w:p>
          <w:p w14:paraId="2CB71BFA" w14:textId="77777777" w:rsidR="00FE38DD" w:rsidRPr="00EF5117" w:rsidRDefault="00FE38DD" w:rsidP="00A659E1">
            <w:pPr>
              <w:rPr>
                <w:b/>
                <w:bCs/>
                <w:sz w:val="22"/>
                <w:szCs w:val="22"/>
              </w:rPr>
            </w:pPr>
            <w:r w:rsidRPr="00EF5117">
              <w:rPr>
                <w:b/>
                <w:bCs/>
                <w:color w:val="FF0000"/>
                <w:sz w:val="22"/>
                <w:szCs w:val="22"/>
              </w:rPr>
              <w:t>Advanced:</w:t>
            </w:r>
            <w:r w:rsidRPr="00EF5117">
              <w:rPr>
                <w:b/>
                <w:bCs/>
                <w:sz w:val="22"/>
                <w:szCs w:val="22"/>
              </w:rPr>
              <w:t xml:space="preserve"> </w:t>
            </w:r>
          </w:p>
          <w:p w14:paraId="07B90F41" w14:textId="77777777" w:rsidR="00FE38DD" w:rsidRDefault="00FE38DD" w:rsidP="00A659E1">
            <w:pPr>
              <w:rPr>
                <w:sz w:val="22"/>
                <w:szCs w:val="22"/>
              </w:rPr>
            </w:pPr>
          </w:p>
          <w:p w14:paraId="618AE463" w14:textId="77777777" w:rsidR="00FE38DD" w:rsidRDefault="00FE38DD" w:rsidP="00A659E1">
            <w:pPr>
              <w:rPr>
                <w:sz w:val="22"/>
                <w:szCs w:val="22"/>
              </w:rPr>
            </w:pPr>
            <w:r>
              <w:rPr>
                <w:sz w:val="22"/>
                <w:szCs w:val="22"/>
              </w:rPr>
              <w:t>-Distribute and role play checklist for team meeting collaboration practices that integrate Groupthink protections</w:t>
            </w:r>
          </w:p>
          <w:p w14:paraId="28689783" w14:textId="77777777" w:rsidR="00FE38DD" w:rsidRDefault="00FE38DD" w:rsidP="00A659E1">
            <w:pPr>
              <w:rPr>
                <w:sz w:val="22"/>
                <w:szCs w:val="22"/>
              </w:rPr>
            </w:pPr>
          </w:p>
          <w:p w14:paraId="4F89457F" w14:textId="77777777" w:rsidR="00FE38DD" w:rsidRDefault="00FE38DD" w:rsidP="00A659E1">
            <w:pPr>
              <w:rPr>
                <w:sz w:val="22"/>
                <w:szCs w:val="22"/>
              </w:rPr>
            </w:pPr>
            <w:r>
              <w:rPr>
                <w:sz w:val="22"/>
                <w:szCs w:val="22"/>
              </w:rPr>
              <w:t>-Individual students share various potential team architecture across a range of care settings and the possible time/goal pressures faced in each setting</w:t>
            </w:r>
          </w:p>
          <w:p w14:paraId="603BE8DC" w14:textId="77777777" w:rsidR="00FE38DD" w:rsidRDefault="00FE38DD" w:rsidP="00A659E1">
            <w:pPr>
              <w:rPr>
                <w:sz w:val="22"/>
                <w:szCs w:val="22"/>
              </w:rPr>
            </w:pPr>
          </w:p>
          <w:p w14:paraId="756123F3" w14:textId="6F86AAEA" w:rsidR="00FE38DD" w:rsidRDefault="00FE38DD" w:rsidP="00A659E1">
            <w:pPr>
              <w:rPr>
                <w:sz w:val="22"/>
                <w:szCs w:val="22"/>
              </w:rPr>
            </w:pPr>
            <w:r>
              <w:rPr>
                <w:sz w:val="22"/>
                <w:szCs w:val="22"/>
              </w:rPr>
              <w:t xml:space="preserve">-Lecture on conflict communication </w:t>
            </w:r>
            <w:r>
              <w:rPr>
                <w:sz w:val="22"/>
                <w:szCs w:val="22"/>
              </w:rPr>
              <w:lastRenderedPageBreak/>
              <w:t>research, the components of conflict, and myths and truths associated</w:t>
            </w:r>
          </w:p>
          <w:p w14:paraId="1C57B95D" w14:textId="17361B0B" w:rsidR="001C55FC" w:rsidRDefault="001C55FC" w:rsidP="00A659E1">
            <w:pPr>
              <w:rPr>
                <w:sz w:val="22"/>
                <w:szCs w:val="22"/>
              </w:rPr>
            </w:pPr>
            <w:r w:rsidRPr="00642C21">
              <w:rPr>
                <w:sz w:val="22"/>
                <w:szCs w:val="22"/>
              </w:rPr>
              <w:t xml:space="preserve">- Simulate high stakes </w:t>
            </w:r>
            <w:r w:rsidR="00AC4DEA" w:rsidRPr="00642C21">
              <w:rPr>
                <w:sz w:val="22"/>
                <w:szCs w:val="22"/>
              </w:rPr>
              <w:t>communication needs during crisis and need for high performing team dynamics.</w:t>
            </w:r>
            <w:r w:rsidR="00AC4DEA">
              <w:rPr>
                <w:sz w:val="22"/>
                <w:szCs w:val="22"/>
              </w:rPr>
              <w:t xml:space="preserve"> </w:t>
            </w:r>
          </w:p>
          <w:p w14:paraId="2AAD0DED" w14:textId="77777777" w:rsidR="00FE38DD" w:rsidRPr="00F82A1B" w:rsidRDefault="00FE38DD" w:rsidP="00A659E1">
            <w:pPr>
              <w:rPr>
                <w:sz w:val="22"/>
                <w:szCs w:val="22"/>
              </w:rPr>
            </w:pPr>
          </w:p>
        </w:tc>
        <w:tc>
          <w:tcPr>
            <w:tcW w:w="2790" w:type="dxa"/>
            <w:tcBorders>
              <w:bottom w:val="single" w:sz="4" w:space="0" w:color="auto"/>
            </w:tcBorders>
          </w:tcPr>
          <w:p w14:paraId="4BFBFF42" w14:textId="77777777" w:rsidR="00FE38DD" w:rsidRDefault="00FE38DD" w:rsidP="00A659E1">
            <w:pPr>
              <w:rPr>
                <w:sz w:val="22"/>
                <w:szCs w:val="22"/>
              </w:rPr>
            </w:pPr>
            <w:r>
              <w:rPr>
                <w:sz w:val="22"/>
                <w:szCs w:val="22"/>
              </w:rPr>
              <w:lastRenderedPageBreak/>
              <w:t>Performance Assessment Communication and Teamwork Tools Set (PACT)</w:t>
            </w:r>
          </w:p>
          <w:p w14:paraId="1D7C6FBB" w14:textId="77777777" w:rsidR="00FE38DD" w:rsidRDefault="00FE38DD" w:rsidP="00A659E1">
            <w:pPr>
              <w:rPr>
                <w:sz w:val="22"/>
                <w:szCs w:val="22"/>
              </w:rPr>
            </w:pPr>
          </w:p>
          <w:p w14:paraId="49D709DD" w14:textId="77777777" w:rsidR="00FE38DD" w:rsidRDefault="00FE38DD" w:rsidP="00A659E1">
            <w:pPr>
              <w:rPr>
                <w:sz w:val="22"/>
                <w:szCs w:val="22"/>
              </w:rPr>
            </w:pPr>
            <w:r>
              <w:rPr>
                <w:sz w:val="22"/>
                <w:szCs w:val="22"/>
              </w:rPr>
              <w:t>Communication Preference Questionnaire</w:t>
            </w:r>
          </w:p>
          <w:p w14:paraId="59A22E36" w14:textId="77777777" w:rsidR="00FE38DD" w:rsidRDefault="00337990" w:rsidP="00A659E1">
            <w:pPr>
              <w:rPr>
                <w:sz w:val="22"/>
                <w:szCs w:val="22"/>
              </w:rPr>
            </w:pPr>
            <w:hyperlink r:id="rId16" w:history="1">
              <w:r w:rsidR="00FE38DD" w:rsidRPr="005143B6">
                <w:rPr>
                  <w:rStyle w:val="Hyperlink"/>
                  <w:sz w:val="22"/>
                  <w:szCs w:val="22"/>
                </w:rPr>
                <w:t>https://www.hpsys.com/Assessments_CPQ.htm</w:t>
              </w:r>
            </w:hyperlink>
          </w:p>
          <w:p w14:paraId="3DD3C008" w14:textId="77777777" w:rsidR="00FE38DD" w:rsidRDefault="00FE38DD" w:rsidP="00A659E1">
            <w:pPr>
              <w:rPr>
                <w:sz w:val="22"/>
                <w:szCs w:val="22"/>
              </w:rPr>
            </w:pPr>
          </w:p>
          <w:p w14:paraId="7F7ADAC1" w14:textId="77777777" w:rsidR="00FE38DD" w:rsidRPr="00F82A1B" w:rsidRDefault="00FE38DD" w:rsidP="00A659E1">
            <w:pPr>
              <w:rPr>
                <w:sz w:val="22"/>
                <w:szCs w:val="22"/>
              </w:rPr>
            </w:pPr>
            <w:r>
              <w:rPr>
                <w:sz w:val="22"/>
                <w:szCs w:val="22"/>
              </w:rPr>
              <w:t>TeamSTEPPS Team Performance Observation Tool</w:t>
            </w:r>
          </w:p>
        </w:tc>
        <w:tc>
          <w:tcPr>
            <w:tcW w:w="4590" w:type="dxa"/>
            <w:tcBorders>
              <w:bottom w:val="single" w:sz="4" w:space="0" w:color="auto"/>
            </w:tcBorders>
          </w:tcPr>
          <w:p w14:paraId="272714E0" w14:textId="77777777" w:rsidR="00FE38DD" w:rsidRPr="002C1E35" w:rsidRDefault="00FE38DD" w:rsidP="00A659E1">
            <w:pPr>
              <w:autoSpaceDE w:val="0"/>
              <w:autoSpaceDN w:val="0"/>
              <w:adjustRightInd w:val="0"/>
              <w:rPr>
                <w:sz w:val="22"/>
                <w:szCs w:val="22"/>
              </w:rPr>
            </w:pPr>
            <w:r w:rsidRPr="002C1E35">
              <w:rPr>
                <w:sz w:val="22"/>
                <w:szCs w:val="22"/>
              </w:rPr>
              <w:t xml:space="preserve">Reising, D. L., Carr, D. E., Tieman, S., Feather, R., &amp; Ozdogan, Z. (2015, Sep-Oct). Psychometric Testing of a Simulation Rubric for Measuring Interprofessional Communication. </w:t>
            </w:r>
            <w:r w:rsidRPr="002C1E35">
              <w:rPr>
                <w:i/>
                <w:iCs/>
                <w:sz w:val="22"/>
                <w:szCs w:val="22"/>
              </w:rPr>
              <w:t>Nurs Educ Perspect, 36</w:t>
            </w:r>
            <w:r w:rsidRPr="002C1E35">
              <w:rPr>
                <w:sz w:val="22"/>
                <w:szCs w:val="22"/>
              </w:rPr>
              <w:t xml:space="preserve">(5), 311-316. https://doi.org/10.5480/15-1659 </w:t>
            </w:r>
          </w:p>
          <w:p w14:paraId="2158AB78" w14:textId="77777777" w:rsidR="00FE38DD" w:rsidRDefault="00FE38DD" w:rsidP="00A659E1">
            <w:pPr>
              <w:rPr>
                <w:i/>
                <w:iCs/>
                <w:sz w:val="22"/>
                <w:szCs w:val="22"/>
              </w:rPr>
            </w:pPr>
          </w:p>
          <w:p w14:paraId="61B6E91E" w14:textId="77777777" w:rsidR="00FE38DD" w:rsidRPr="002C1E35" w:rsidRDefault="00FE38DD" w:rsidP="00A659E1">
            <w:pPr>
              <w:autoSpaceDE w:val="0"/>
              <w:autoSpaceDN w:val="0"/>
              <w:adjustRightInd w:val="0"/>
              <w:ind w:right="90"/>
              <w:rPr>
                <w:sz w:val="22"/>
                <w:szCs w:val="22"/>
              </w:rPr>
            </w:pPr>
            <w:r w:rsidRPr="002C1E35">
              <w:rPr>
                <w:sz w:val="22"/>
                <w:szCs w:val="22"/>
              </w:rPr>
              <w:t xml:space="preserve">DiPierro, K., Lee, H., Pain, K. J., Durning, S. J., &amp; Choi, J. J. (2021, Oct 12). Groupthink among health professional teams in patient care: A scoping review. </w:t>
            </w:r>
            <w:r w:rsidRPr="002C1E35">
              <w:rPr>
                <w:i/>
                <w:iCs/>
                <w:sz w:val="22"/>
                <w:szCs w:val="22"/>
              </w:rPr>
              <w:t>Med Teach</w:t>
            </w:r>
            <w:r w:rsidRPr="002C1E35">
              <w:rPr>
                <w:sz w:val="22"/>
                <w:szCs w:val="22"/>
              </w:rPr>
              <w:t xml:space="preserve">, 1-10. https://doi.org/10.1080/0142159X.2021.1987404 </w:t>
            </w:r>
          </w:p>
          <w:p w14:paraId="22FB10ED" w14:textId="77777777" w:rsidR="00FE38DD" w:rsidRDefault="00FE38DD" w:rsidP="00A659E1">
            <w:pPr>
              <w:rPr>
                <w:i/>
                <w:iCs/>
                <w:sz w:val="22"/>
                <w:szCs w:val="22"/>
              </w:rPr>
            </w:pPr>
          </w:p>
          <w:p w14:paraId="69133DCB" w14:textId="77777777" w:rsidR="001C55FC" w:rsidRDefault="001C55FC" w:rsidP="00A659E1">
            <w:pPr>
              <w:rPr>
                <w:i/>
                <w:iCs/>
                <w:sz w:val="22"/>
                <w:szCs w:val="22"/>
              </w:rPr>
            </w:pPr>
          </w:p>
          <w:p w14:paraId="15099B8A" w14:textId="26A45995" w:rsidR="001C55FC" w:rsidRPr="00642C21" w:rsidRDefault="001C55FC" w:rsidP="00A659E1">
            <w:pPr>
              <w:rPr>
                <w:sz w:val="22"/>
                <w:szCs w:val="22"/>
              </w:rPr>
            </w:pPr>
            <w:r w:rsidRPr="00642C21">
              <w:rPr>
                <w:sz w:val="22"/>
                <w:szCs w:val="22"/>
              </w:rPr>
              <w:t xml:space="preserve">Rock, L. K. (2021). Communication as a high-stakes clinical skill: "just-in-time" simulation and vicarious observational learning to promote patient- and family-centered care and to improve trainee skill. Academic Medicine : </w:t>
            </w:r>
            <w:r w:rsidRPr="00642C21">
              <w:rPr>
                <w:i/>
                <w:iCs/>
                <w:sz w:val="22"/>
                <w:szCs w:val="22"/>
              </w:rPr>
              <w:t>Journal of the Association of American Medical Colleges</w:t>
            </w:r>
            <w:r w:rsidRPr="00642C21">
              <w:rPr>
                <w:sz w:val="22"/>
                <w:szCs w:val="22"/>
              </w:rPr>
              <w:t xml:space="preserve">, 96(11), 1534–1539. </w:t>
            </w:r>
            <w:hyperlink r:id="rId17" w:history="1">
              <w:r w:rsidR="00AC4DEA" w:rsidRPr="00642C21">
                <w:rPr>
                  <w:rStyle w:val="Hyperlink"/>
                  <w:sz w:val="22"/>
                  <w:szCs w:val="22"/>
                </w:rPr>
                <w:t>https://doi.org/10.1097/ACM.0000000000004077</w:t>
              </w:r>
            </w:hyperlink>
          </w:p>
          <w:p w14:paraId="3F754329" w14:textId="77777777" w:rsidR="00AC4DEA" w:rsidRPr="00642C21" w:rsidRDefault="00AC4DEA" w:rsidP="00A659E1"/>
          <w:p w14:paraId="23889346" w14:textId="77777777" w:rsidR="00AC4DEA" w:rsidRPr="00642C21" w:rsidRDefault="00AC4DEA" w:rsidP="00A659E1"/>
          <w:p w14:paraId="411A0B86" w14:textId="02C591FD" w:rsidR="00AC4DEA" w:rsidRPr="00642C21" w:rsidRDefault="00AC4DEA" w:rsidP="00A659E1">
            <w:pPr>
              <w:rPr>
                <w:sz w:val="22"/>
                <w:szCs w:val="22"/>
              </w:rPr>
            </w:pPr>
            <w:r w:rsidRPr="00642C21">
              <w:rPr>
                <w:sz w:val="22"/>
                <w:szCs w:val="22"/>
              </w:rPr>
              <w:t>Rajendram, P., Notario, L., Reid, C., Wira, C. R., Suarez, J. I., Weingart, S. D., &amp;</w:t>
            </w:r>
            <w:r w:rsidR="00642C21">
              <w:rPr>
                <w:sz w:val="22"/>
                <w:szCs w:val="22"/>
              </w:rPr>
              <w:t xml:space="preserve"> </w:t>
            </w:r>
            <w:r w:rsidRPr="00642C21">
              <w:rPr>
                <w:sz w:val="22"/>
                <w:szCs w:val="22"/>
              </w:rPr>
              <w:t xml:space="preserve">Khosravani, H. (2020). Crisis resource management and high-performing teams in hyperacute stroke care. </w:t>
            </w:r>
            <w:r w:rsidRPr="00642C21">
              <w:rPr>
                <w:i/>
                <w:iCs/>
                <w:sz w:val="22"/>
                <w:szCs w:val="22"/>
              </w:rPr>
              <w:t>Neurocritical Care</w:t>
            </w:r>
            <w:r w:rsidRPr="00642C21">
              <w:rPr>
                <w:sz w:val="22"/>
                <w:szCs w:val="22"/>
              </w:rPr>
              <w:t>, 33(2), 338–346. https://doi.org/10.1007/s12028-020-01057-4</w:t>
            </w:r>
          </w:p>
        </w:tc>
      </w:tr>
      <w:tr w:rsidR="00FE38DD" w:rsidRPr="00221A1B" w14:paraId="4D239AC3" w14:textId="77777777" w:rsidTr="00A659E1">
        <w:trPr>
          <w:trHeight w:val="61"/>
        </w:trPr>
        <w:tc>
          <w:tcPr>
            <w:tcW w:w="14395" w:type="dxa"/>
            <w:gridSpan w:val="4"/>
            <w:shd w:val="clear" w:color="auto" w:fill="D9D9D9" w:themeFill="background1" w:themeFillShade="D9"/>
          </w:tcPr>
          <w:p w14:paraId="67306B26" w14:textId="77777777" w:rsidR="00FE38DD" w:rsidRDefault="00FE38DD" w:rsidP="00A659E1">
            <w:pPr>
              <w:rPr>
                <w:b/>
                <w:bCs/>
                <w:sz w:val="22"/>
                <w:szCs w:val="22"/>
              </w:rPr>
            </w:pPr>
            <w:r w:rsidRPr="006E08B2">
              <w:rPr>
                <w:b/>
                <w:bCs/>
                <w:sz w:val="22"/>
                <w:szCs w:val="22"/>
              </w:rPr>
              <w:t>6.4 Work with other professions to maintain a climate of mutual learning, respect, and shared values.</w:t>
            </w:r>
          </w:p>
          <w:p w14:paraId="478B7D9A" w14:textId="77777777" w:rsidR="00FE38DD" w:rsidRDefault="00FE38DD" w:rsidP="00A659E1">
            <w:pPr>
              <w:ind w:left="337"/>
              <w:rPr>
                <w:sz w:val="22"/>
                <w:szCs w:val="22"/>
              </w:rPr>
            </w:pPr>
            <w:r>
              <w:rPr>
                <w:sz w:val="22"/>
                <w:szCs w:val="22"/>
              </w:rPr>
              <w:t>6.4a Demonstrate an awareness of one’s biases and how they may affect mutual respect and communication with team members (E)</w:t>
            </w:r>
          </w:p>
          <w:p w14:paraId="4D5E4CE5" w14:textId="77777777" w:rsidR="00FE38DD" w:rsidRDefault="00FE38DD" w:rsidP="00A659E1">
            <w:pPr>
              <w:ind w:left="337"/>
              <w:rPr>
                <w:sz w:val="22"/>
                <w:szCs w:val="22"/>
              </w:rPr>
            </w:pPr>
            <w:r>
              <w:rPr>
                <w:sz w:val="22"/>
                <w:szCs w:val="22"/>
              </w:rPr>
              <w:t>6.4c Engage in constructive communication to facilitate conflict management (E)</w:t>
            </w:r>
          </w:p>
          <w:p w14:paraId="35B8BFC3" w14:textId="77777777" w:rsidR="00FE38DD" w:rsidRDefault="00FE38DD" w:rsidP="00A659E1">
            <w:pPr>
              <w:ind w:left="337"/>
              <w:rPr>
                <w:sz w:val="22"/>
                <w:szCs w:val="22"/>
              </w:rPr>
            </w:pPr>
            <w:r>
              <w:rPr>
                <w:sz w:val="22"/>
                <w:szCs w:val="22"/>
              </w:rPr>
              <w:t>6.4d Collaborate with interprofessional members to establish mutual healthcare goals for individuals, communities, or populations (E)</w:t>
            </w:r>
          </w:p>
          <w:p w14:paraId="0BA17C20" w14:textId="77777777" w:rsidR="00FE38DD" w:rsidRPr="00CD5D3D" w:rsidRDefault="00FE38DD" w:rsidP="00A659E1">
            <w:pPr>
              <w:ind w:left="337"/>
              <w:rPr>
                <w:sz w:val="22"/>
                <w:szCs w:val="22"/>
              </w:rPr>
            </w:pPr>
            <w:r>
              <w:rPr>
                <w:sz w:val="22"/>
                <w:szCs w:val="22"/>
              </w:rPr>
              <w:t>6.4f Foster an environment that supports the constructive sharing of multiple perspectives and enhances interprofessional learning (A)</w:t>
            </w:r>
          </w:p>
        </w:tc>
      </w:tr>
      <w:tr w:rsidR="00FE38DD" w:rsidRPr="00221A1B" w14:paraId="22965365" w14:textId="77777777" w:rsidTr="00A659E1">
        <w:trPr>
          <w:trHeight w:val="61"/>
        </w:trPr>
        <w:tc>
          <w:tcPr>
            <w:tcW w:w="2785" w:type="dxa"/>
          </w:tcPr>
          <w:p w14:paraId="69F4FB16" w14:textId="77777777" w:rsidR="00FE38DD" w:rsidRPr="00CD5D3D" w:rsidRDefault="00FE38DD" w:rsidP="00A659E1">
            <w:pPr>
              <w:rPr>
                <w:sz w:val="22"/>
                <w:szCs w:val="22"/>
              </w:rPr>
            </w:pPr>
            <w:r w:rsidRPr="00F82A1B">
              <w:rPr>
                <w:b/>
                <w:bCs/>
                <w:sz w:val="22"/>
                <w:szCs w:val="22"/>
              </w:rPr>
              <w:t>Recommended Content</w:t>
            </w:r>
          </w:p>
        </w:tc>
        <w:tc>
          <w:tcPr>
            <w:tcW w:w="4230" w:type="dxa"/>
          </w:tcPr>
          <w:p w14:paraId="7651696F" w14:textId="77777777" w:rsidR="00FE38DD" w:rsidRPr="00F82A1B" w:rsidRDefault="00FE38DD" w:rsidP="00A659E1">
            <w:pPr>
              <w:rPr>
                <w:sz w:val="22"/>
                <w:szCs w:val="22"/>
              </w:rPr>
            </w:pPr>
            <w:r w:rsidRPr="00F82A1B">
              <w:rPr>
                <w:b/>
                <w:bCs/>
                <w:sz w:val="22"/>
                <w:szCs w:val="22"/>
              </w:rPr>
              <w:t>Learning Strategies</w:t>
            </w:r>
          </w:p>
        </w:tc>
        <w:tc>
          <w:tcPr>
            <w:tcW w:w="2790" w:type="dxa"/>
          </w:tcPr>
          <w:p w14:paraId="2C46BD7D" w14:textId="77777777" w:rsidR="00FE38DD" w:rsidRPr="00F82A1B" w:rsidRDefault="00FE38DD" w:rsidP="00A659E1">
            <w:pPr>
              <w:rPr>
                <w:sz w:val="22"/>
                <w:szCs w:val="22"/>
              </w:rPr>
            </w:pPr>
            <w:r w:rsidRPr="00F82A1B">
              <w:rPr>
                <w:b/>
                <w:bCs/>
                <w:sz w:val="22"/>
                <w:szCs w:val="22"/>
              </w:rPr>
              <w:t>Assessment</w:t>
            </w:r>
          </w:p>
        </w:tc>
        <w:tc>
          <w:tcPr>
            <w:tcW w:w="4590" w:type="dxa"/>
          </w:tcPr>
          <w:p w14:paraId="30E0291F" w14:textId="77777777" w:rsidR="00FE38DD" w:rsidRPr="00221A1B" w:rsidRDefault="00FE38DD" w:rsidP="00A659E1">
            <w:pPr>
              <w:rPr>
                <w:i/>
                <w:iCs/>
                <w:sz w:val="22"/>
                <w:szCs w:val="22"/>
              </w:rPr>
            </w:pPr>
            <w:r w:rsidRPr="00221A1B">
              <w:rPr>
                <w:b/>
                <w:bCs/>
                <w:sz w:val="22"/>
                <w:szCs w:val="22"/>
              </w:rPr>
              <w:t>Resources</w:t>
            </w:r>
            <w:r>
              <w:rPr>
                <w:b/>
                <w:bCs/>
                <w:sz w:val="22"/>
                <w:szCs w:val="22"/>
              </w:rPr>
              <w:t xml:space="preserve"> and References</w:t>
            </w:r>
          </w:p>
        </w:tc>
      </w:tr>
      <w:tr w:rsidR="00FE38DD" w:rsidRPr="00221A1B" w14:paraId="1E94D6E7" w14:textId="77777777" w:rsidTr="00A659E1">
        <w:trPr>
          <w:trHeight w:val="61"/>
        </w:trPr>
        <w:tc>
          <w:tcPr>
            <w:tcW w:w="2785" w:type="dxa"/>
            <w:tcBorders>
              <w:bottom w:val="single" w:sz="4" w:space="0" w:color="auto"/>
            </w:tcBorders>
          </w:tcPr>
          <w:p w14:paraId="7C0A07F4" w14:textId="77777777" w:rsidR="00FE38DD" w:rsidRPr="00AD69AB" w:rsidRDefault="00FE38DD" w:rsidP="00A659E1">
            <w:pPr>
              <w:rPr>
                <w:sz w:val="22"/>
                <w:szCs w:val="22"/>
              </w:rPr>
            </w:pPr>
            <w:r>
              <w:rPr>
                <w:color w:val="000000" w:themeColor="text1"/>
                <w:sz w:val="22"/>
                <w:szCs w:val="22"/>
              </w:rPr>
              <w:t xml:space="preserve">Interprofessional model of Communication </w:t>
            </w:r>
            <w:r>
              <w:rPr>
                <w:sz w:val="22"/>
                <w:szCs w:val="22"/>
                <w:vertAlign w:val="superscript"/>
              </w:rPr>
              <w:t>a,s,k</w:t>
            </w:r>
          </w:p>
        </w:tc>
        <w:tc>
          <w:tcPr>
            <w:tcW w:w="4230" w:type="dxa"/>
            <w:tcBorders>
              <w:bottom w:val="single" w:sz="4" w:space="0" w:color="auto"/>
            </w:tcBorders>
          </w:tcPr>
          <w:p w14:paraId="27E019AC" w14:textId="77777777" w:rsidR="00FE38DD" w:rsidRPr="00704383" w:rsidRDefault="00FE38DD" w:rsidP="00A659E1">
            <w:pPr>
              <w:rPr>
                <w:b/>
                <w:bCs/>
                <w:color w:val="FF0000"/>
                <w:sz w:val="22"/>
                <w:szCs w:val="22"/>
              </w:rPr>
            </w:pPr>
            <w:r>
              <w:rPr>
                <w:b/>
                <w:bCs/>
                <w:color w:val="FF0000"/>
                <w:sz w:val="22"/>
                <w:szCs w:val="22"/>
              </w:rPr>
              <w:t>Advanced</w:t>
            </w:r>
            <w:r w:rsidRPr="00704383">
              <w:rPr>
                <w:b/>
                <w:bCs/>
                <w:color w:val="FF0000"/>
                <w:sz w:val="22"/>
                <w:szCs w:val="22"/>
              </w:rPr>
              <w:t>:</w:t>
            </w:r>
          </w:p>
          <w:p w14:paraId="5B45A30A" w14:textId="77777777" w:rsidR="00FE38DD" w:rsidRDefault="00FE38DD" w:rsidP="00A659E1">
            <w:pPr>
              <w:rPr>
                <w:sz w:val="22"/>
                <w:szCs w:val="22"/>
              </w:rPr>
            </w:pPr>
          </w:p>
          <w:p w14:paraId="198CA262" w14:textId="77777777" w:rsidR="00FE38DD" w:rsidRDefault="00FE38DD" w:rsidP="00A659E1">
            <w:pPr>
              <w:rPr>
                <w:sz w:val="22"/>
                <w:szCs w:val="22"/>
              </w:rPr>
            </w:pPr>
            <w:r>
              <w:rPr>
                <w:sz w:val="22"/>
                <w:szCs w:val="22"/>
              </w:rPr>
              <w:t>-Learn and practice and team mindfulness exercise in groups</w:t>
            </w:r>
          </w:p>
          <w:p w14:paraId="433E44B8" w14:textId="77777777" w:rsidR="00FE38DD" w:rsidRDefault="00FE38DD" w:rsidP="00A659E1">
            <w:pPr>
              <w:rPr>
                <w:sz w:val="22"/>
                <w:szCs w:val="22"/>
              </w:rPr>
            </w:pPr>
          </w:p>
          <w:p w14:paraId="46DF2CBF" w14:textId="77777777" w:rsidR="00FE38DD" w:rsidRDefault="00FE38DD" w:rsidP="00A659E1">
            <w:pPr>
              <w:rPr>
                <w:sz w:val="22"/>
                <w:szCs w:val="22"/>
              </w:rPr>
            </w:pPr>
            <w:r>
              <w:rPr>
                <w:sz w:val="22"/>
                <w:szCs w:val="22"/>
              </w:rPr>
              <w:t>-Role play group difference and productive outcomes</w:t>
            </w:r>
          </w:p>
          <w:p w14:paraId="7AC4766C" w14:textId="77777777" w:rsidR="00FE38DD" w:rsidRDefault="00FE38DD" w:rsidP="00A659E1">
            <w:pPr>
              <w:rPr>
                <w:sz w:val="22"/>
                <w:szCs w:val="22"/>
              </w:rPr>
            </w:pPr>
          </w:p>
          <w:p w14:paraId="5E0001AC" w14:textId="77777777" w:rsidR="00FE38DD" w:rsidRDefault="00FE38DD" w:rsidP="00A659E1">
            <w:pPr>
              <w:rPr>
                <w:sz w:val="22"/>
                <w:szCs w:val="22"/>
              </w:rPr>
            </w:pPr>
            <w:r>
              <w:rPr>
                <w:sz w:val="22"/>
                <w:szCs w:val="22"/>
              </w:rPr>
              <w:t>-Practice transitions in care team meetings and reflect</w:t>
            </w:r>
          </w:p>
          <w:p w14:paraId="414D07D0" w14:textId="77777777" w:rsidR="00FE38DD" w:rsidRDefault="00FE38DD" w:rsidP="00A659E1">
            <w:pPr>
              <w:rPr>
                <w:sz w:val="22"/>
                <w:szCs w:val="22"/>
              </w:rPr>
            </w:pPr>
          </w:p>
          <w:p w14:paraId="5FADCA5F" w14:textId="25461917" w:rsidR="00FE38DD" w:rsidRDefault="00FE38DD" w:rsidP="00A659E1">
            <w:pPr>
              <w:rPr>
                <w:sz w:val="22"/>
                <w:szCs w:val="22"/>
              </w:rPr>
            </w:pPr>
            <w:r>
              <w:rPr>
                <w:sz w:val="22"/>
                <w:szCs w:val="22"/>
              </w:rPr>
              <w:t>-Students take the Myers Briggs personality inventory and the share reflections</w:t>
            </w:r>
          </w:p>
          <w:p w14:paraId="0D3D3FB4" w14:textId="77777777" w:rsidR="0020397E" w:rsidRDefault="0020397E" w:rsidP="00A659E1">
            <w:pPr>
              <w:rPr>
                <w:sz w:val="22"/>
                <w:szCs w:val="22"/>
              </w:rPr>
            </w:pPr>
          </w:p>
          <w:p w14:paraId="433198B8" w14:textId="7BBE4289" w:rsidR="00AC4DEA" w:rsidRPr="00F82A1B" w:rsidRDefault="00AC4DEA" w:rsidP="00A659E1">
            <w:pPr>
              <w:rPr>
                <w:sz w:val="22"/>
                <w:szCs w:val="22"/>
              </w:rPr>
            </w:pPr>
            <w:r w:rsidRPr="00642C21">
              <w:rPr>
                <w:sz w:val="22"/>
                <w:szCs w:val="22"/>
              </w:rPr>
              <w:t xml:space="preserve">- Promote Self-awareness activities that </w:t>
            </w:r>
            <w:r w:rsidR="0020397E" w:rsidRPr="00642C21">
              <w:rPr>
                <w:sz w:val="22"/>
                <w:szCs w:val="22"/>
              </w:rPr>
              <w:t>enhance team communication values</w:t>
            </w:r>
          </w:p>
        </w:tc>
        <w:tc>
          <w:tcPr>
            <w:tcW w:w="2790" w:type="dxa"/>
            <w:tcBorders>
              <w:bottom w:val="single" w:sz="4" w:space="0" w:color="auto"/>
            </w:tcBorders>
          </w:tcPr>
          <w:p w14:paraId="60BCA2BC" w14:textId="77777777" w:rsidR="00FE38DD" w:rsidRDefault="00FE38DD" w:rsidP="00A659E1">
            <w:pPr>
              <w:rPr>
                <w:sz w:val="22"/>
                <w:szCs w:val="22"/>
              </w:rPr>
            </w:pPr>
            <w:r>
              <w:rPr>
                <w:sz w:val="22"/>
                <w:szCs w:val="22"/>
              </w:rPr>
              <w:t>Interprofessional Collaboration Competency Attainment (Archibald, Trumpower, &amp;MacDonald, 2014)</w:t>
            </w:r>
          </w:p>
          <w:p w14:paraId="3FBBE29C" w14:textId="77777777" w:rsidR="00FE38DD" w:rsidRDefault="00FE38DD" w:rsidP="00A659E1">
            <w:pPr>
              <w:rPr>
                <w:sz w:val="22"/>
                <w:szCs w:val="22"/>
              </w:rPr>
            </w:pPr>
          </w:p>
          <w:p w14:paraId="25F14C1F" w14:textId="77777777" w:rsidR="00FE38DD" w:rsidRDefault="00FE38DD" w:rsidP="00A659E1">
            <w:pPr>
              <w:rPr>
                <w:sz w:val="22"/>
                <w:szCs w:val="22"/>
              </w:rPr>
            </w:pPr>
            <w:r>
              <w:rPr>
                <w:sz w:val="22"/>
                <w:szCs w:val="22"/>
              </w:rPr>
              <w:t>Assessment for Collaborative Environments (Tilden et al, 2016)</w:t>
            </w:r>
          </w:p>
          <w:p w14:paraId="350205BF" w14:textId="77777777" w:rsidR="00FE38DD" w:rsidRDefault="00FE38DD" w:rsidP="00A659E1">
            <w:pPr>
              <w:rPr>
                <w:sz w:val="22"/>
                <w:szCs w:val="22"/>
              </w:rPr>
            </w:pPr>
          </w:p>
          <w:p w14:paraId="29A34AFA" w14:textId="77777777" w:rsidR="00FE38DD" w:rsidRDefault="00FE38DD" w:rsidP="00A659E1">
            <w:pPr>
              <w:rPr>
                <w:sz w:val="22"/>
                <w:szCs w:val="22"/>
              </w:rPr>
            </w:pPr>
            <w:r>
              <w:rPr>
                <w:sz w:val="22"/>
                <w:szCs w:val="22"/>
              </w:rPr>
              <w:t>TeamSTEPPS Teamwork Attitudes Questionnaire</w:t>
            </w:r>
          </w:p>
          <w:p w14:paraId="78802372" w14:textId="77777777" w:rsidR="00FE38DD" w:rsidRDefault="00FE38DD" w:rsidP="00A659E1">
            <w:pPr>
              <w:rPr>
                <w:sz w:val="22"/>
                <w:szCs w:val="22"/>
              </w:rPr>
            </w:pPr>
          </w:p>
          <w:p w14:paraId="66DCC951" w14:textId="77777777" w:rsidR="00FE38DD" w:rsidRDefault="00FE38DD" w:rsidP="00A659E1">
            <w:pPr>
              <w:rPr>
                <w:sz w:val="22"/>
                <w:szCs w:val="22"/>
              </w:rPr>
            </w:pPr>
            <w:r>
              <w:rPr>
                <w:sz w:val="22"/>
                <w:szCs w:val="22"/>
              </w:rPr>
              <w:t>Interprofessional Socialization and Valuing Scale (King, Shaw, Orchard, &amp; Miller, 2010)</w:t>
            </w:r>
          </w:p>
          <w:p w14:paraId="3F2420D6" w14:textId="77777777" w:rsidR="00FE38DD" w:rsidRDefault="00FE38DD" w:rsidP="00A659E1">
            <w:pPr>
              <w:rPr>
                <w:sz w:val="22"/>
                <w:szCs w:val="22"/>
              </w:rPr>
            </w:pPr>
          </w:p>
          <w:p w14:paraId="680C879C" w14:textId="77777777" w:rsidR="00FE38DD" w:rsidRPr="00F82A1B" w:rsidRDefault="00FE38DD" w:rsidP="00A659E1">
            <w:pPr>
              <w:rPr>
                <w:sz w:val="22"/>
                <w:szCs w:val="22"/>
              </w:rPr>
            </w:pPr>
            <w:r>
              <w:rPr>
                <w:sz w:val="22"/>
                <w:szCs w:val="22"/>
              </w:rPr>
              <w:t>Interprofessional Values Assessment (Lockeman et al., 2016)</w:t>
            </w:r>
          </w:p>
        </w:tc>
        <w:tc>
          <w:tcPr>
            <w:tcW w:w="4590" w:type="dxa"/>
            <w:tcBorders>
              <w:bottom w:val="single" w:sz="4" w:space="0" w:color="auto"/>
            </w:tcBorders>
          </w:tcPr>
          <w:p w14:paraId="43BB4BA8" w14:textId="77777777" w:rsidR="00FE38DD" w:rsidRPr="006A72D3" w:rsidRDefault="00FE38DD" w:rsidP="00A659E1">
            <w:pPr>
              <w:autoSpaceDE w:val="0"/>
              <w:autoSpaceDN w:val="0"/>
              <w:adjustRightInd w:val="0"/>
              <w:rPr>
                <w:rFonts w:eastAsiaTheme="minorHAnsi"/>
                <w:sz w:val="22"/>
                <w:szCs w:val="22"/>
              </w:rPr>
            </w:pPr>
            <w:r w:rsidRPr="006A72D3">
              <w:rPr>
                <w:rFonts w:eastAsiaTheme="minorHAnsi"/>
                <w:sz w:val="22"/>
                <w:szCs w:val="22"/>
              </w:rPr>
              <w:t xml:space="preserve">Schmitz, C. C., Radosevich, D. M., Jardine, P., MacDonald, C. J., Trumpower, D., &amp; Archibald, D. (2017, Jan). The Interprofessional Collaborative Competency Attainment Survey (ICCAS): A replication validation study. </w:t>
            </w:r>
            <w:r w:rsidRPr="006A72D3">
              <w:rPr>
                <w:rFonts w:eastAsiaTheme="minorHAnsi"/>
                <w:i/>
                <w:iCs/>
                <w:sz w:val="22"/>
                <w:szCs w:val="22"/>
              </w:rPr>
              <w:t>J Interprof Care, 31</w:t>
            </w:r>
            <w:r w:rsidRPr="006A72D3">
              <w:rPr>
                <w:rFonts w:eastAsiaTheme="minorHAnsi"/>
                <w:sz w:val="22"/>
                <w:szCs w:val="22"/>
              </w:rPr>
              <w:t xml:space="preserve">(1), 28-34. https://doi.org/10.1080/13561820.2016.1233096 </w:t>
            </w:r>
          </w:p>
          <w:p w14:paraId="035239A9" w14:textId="77777777" w:rsidR="00FE38DD" w:rsidRDefault="00FE38DD" w:rsidP="00A659E1">
            <w:pPr>
              <w:rPr>
                <w:i/>
                <w:iCs/>
                <w:sz w:val="22"/>
                <w:szCs w:val="22"/>
              </w:rPr>
            </w:pPr>
          </w:p>
          <w:p w14:paraId="047AC2C5" w14:textId="77777777" w:rsidR="00FE38DD" w:rsidRPr="006A72D3" w:rsidRDefault="00FE38DD" w:rsidP="00A659E1">
            <w:pPr>
              <w:autoSpaceDE w:val="0"/>
              <w:autoSpaceDN w:val="0"/>
              <w:adjustRightInd w:val="0"/>
              <w:rPr>
                <w:rFonts w:eastAsiaTheme="minorHAnsi"/>
                <w:sz w:val="22"/>
                <w:szCs w:val="22"/>
              </w:rPr>
            </w:pPr>
            <w:r w:rsidRPr="006A72D3">
              <w:rPr>
                <w:rFonts w:eastAsiaTheme="minorHAnsi"/>
                <w:sz w:val="22"/>
                <w:szCs w:val="22"/>
              </w:rPr>
              <w:t xml:space="preserve">Tilden, V. P., Eckstrom, E., &amp; Dieckmann, N. F. (2016, May). Development of the assessment for collaborative environments (ACE-15): A tool to measure perceptions of interprofessional "teamness". </w:t>
            </w:r>
            <w:r w:rsidRPr="006A72D3">
              <w:rPr>
                <w:rFonts w:eastAsiaTheme="minorHAnsi"/>
                <w:i/>
                <w:iCs/>
                <w:sz w:val="22"/>
                <w:szCs w:val="22"/>
              </w:rPr>
              <w:t>J Interprof Care, 30</w:t>
            </w:r>
            <w:r w:rsidRPr="006A72D3">
              <w:rPr>
                <w:rFonts w:eastAsiaTheme="minorHAnsi"/>
                <w:sz w:val="22"/>
                <w:szCs w:val="22"/>
              </w:rPr>
              <w:t xml:space="preserve">(3), 288-294. https://doi.org/10.3109/13561820.2015.1137891 </w:t>
            </w:r>
          </w:p>
          <w:p w14:paraId="670E59A3" w14:textId="77777777" w:rsidR="00FE38DD" w:rsidRDefault="00FE38DD" w:rsidP="00A659E1">
            <w:pPr>
              <w:rPr>
                <w:i/>
                <w:iCs/>
                <w:sz w:val="22"/>
                <w:szCs w:val="22"/>
              </w:rPr>
            </w:pPr>
          </w:p>
          <w:p w14:paraId="748E9FC9" w14:textId="1588213E" w:rsidR="0020397E" w:rsidRPr="00642C21" w:rsidRDefault="0020397E" w:rsidP="00A659E1">
            <w:pPr>
              <w:rPr>
                <w:sz w:val="22"/>
                <w:szCs w:val="22"/>
              </w:rPr>
            </w:pPr>
            <w:r w:rsidRPr="00642C21">
              <w:rPr>
                <w:sz w:val="22"/>
                <w:szCs w:val="22"/>
              </w:rPr>
              <w:t xml:space="preserve">Por, J., Barriball, L., Fitzpatrick, J., &amp; Roberts, J. (2011). Emotional intelligence: its relationship to stress, coping, well-being and professional performance in nursing students. </w:t>
            </w:r>
            <w:r w:rsidRPr="00642C21">
              <w:rPr>
                <w:i/>
                <w:iCs/>
                <w:sz w:val="22"/>
                <w:szCs w:val="22"/>
              </w:rPr>
              <w:t>Nurse Education Today</w:t>
            </w:r>
            <w:r w:rsidRPr="00642C21">
              <w:rPr>
                <w:sz w:val="22"/>
                <w:szCs w:val="22"/>
              </w:rPr>
              <w:t>, 31(8), 855–860. https://doi.org/10.1016/j.nedt.2010.12.023</w:t>
            </w:r>
          </w:p>
        </w:tc>
      </w:tr>
    </w:tbl>
    <w:p w14:paraId="4F050E0B" w14:textId="77777777" w:rsidR="00FE38DD" w:rsidRPr="00CE5BCF" w:rsidRDefault="00FE38DD" w:rsidP="00A659E1">
      <w:pPr>
        <w:rPr>
          <w:sz w:val="22"/>
          <w:szCs w:val="22"/>
        </w:rPr>
      </w:pPr>
      <w:r w:rsidRPr="00CE5BCF">
        <w:rPr>
          <w:sz w:val="22"/>
          <w:szCs w:val="22"/>
        </w:rPr>
        <w:t>*E=entry-level; A=advanced-level</w:t>
      </w:r>
    </w:p>
    <w:p w14:paraId="0FF8A9B2" w14:textId="77777777" w:rsidR="00FE38DD" w:rsidRPr="00A017C7" w:rsidRDefault="00FE38DD" w:rsidP="00A659E1">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5192C224" w14:textId="77777777" w:rsidR="00FE38DD" w:rsidRDefault="00FE38DD" w:rsidP="00A659E1">
      <w:pPr>
        <w:rPr>
          <w:b/>
          <w:bCs/>
          <w:sz w:val="22"/>
          <w:szCs w:val="22"/>
        </w:rPr>
      </w:pPr>
    </w:p>
    <w:p w14:paraId="062ECCED" w14:textId="77777777" w:rsidR="00FE38DD" w:rsidRDefault="00FE38DD" w:rsidP="00A659E1">
      <w:pPr>
        <w:rPr>
          <w:b/>
          <w:bCs/>
          <w:sz w:val="22"/>
          <w:szCs w:val="22"/>
        </w:rPr>
      </w:pPr>
    </w:p>
    <w:p w14:paraId="4C785E83" w14:textId="77777777" w:rsidR="00FE38DD" w:rsidRDefault="00FE38DD" w:rsidP="00A659E1">
      <w:pPr>
        <w:rPr>
          <w:b/>
          <w:bCs/>
          <w:sz w:val="22"/>
          <w:szCs w:val="22"/>
        </w:rPr>
      </w:pPr>
    </w:p>
    <w:p w14:paraId="40CEAD31" w14:textId="77777777" w:rsidR="00FE38DD" w:rsidRPr="00AE2D50" w:rsidRDefault="00FE38DD" w:rsidP="00A659E1">
      <w:pPr>
        <w:rPr>
          <w:b/>
          <w:bCs/>
          <w:sz w:val="22"/>
          <w:szCs w:val="22"/>
        </w:rPr>
      </w:pPr>
      <w:r>
        <w:rPr>
          <w:b/>
          <w:bCs/>
          <w:sz w:val="22"/>
          <w:szCs w:val="22"/>
        </w:rPr>
        <w:t>Domain 8. Informatics and Healthcare Technologies</w:t>
      </w:r>
    </w:p>
    <w:tbl>
      <w:tblPr>
        <w:tblStyle w:val="TableGrid"/>
        <w:tblW w:w="14395" w:type="dxa"/>
        <w:tblLook w:val="04A0" w:firstRow="1" w:lastRow="0" w:firstColumn="1" w:lastColumn="0" w:noHBand="0" w:noVBand="1"/>
      </w:tblPr>
      <w:tblGrid>
        <w:gridCol w:w="2875"/>
        <w:gridCol w:w="4680"/>
        <w:gridCol w:w="2160"/>
        <w:gridCol w:w="4680"/>
      </w:tblGrid>
      <w:tr w:rsidR="00FE38DD" w:rsidRPr="00221A1B" w14:paraId="715D7082" w14:textId="77777777" w:rsidTr="00A659E1">
        <w:tc>
          <w:tcPr>
            <w:tcW w:w="14395" w:type="dxa"/>
            <w:gridSpan w:val="4"/>
            <w:tcBorders>
              <w:bottom w:val="single" w:sz="4" w:space="0" w:color="auto"/>
            </w:tcBorders>
            <w:shd w:val="clear" w:color="auto" w:fill="D9D9D9" w:themeFill="background1" w:themeFillShade="D9"/>
          </w:tcPr>
          <w:p w14:paraId="53D71654" w14:textId="77777777" w:rsidR="00FE38DD" w:rsidRPr="005E0EE4" w:rsidRDefault="00FE38DD" w:rsidP="00A659E1">
            <w:pPr>
              <w:rPr>
                <w:b/>
                <w:bCs/>
                <w:sz w:val="22"/>
                <w:szCs w:val="22"/>
              </w:rPr>
            </w:pPr>
            <w:r w:rsidRPr="005E0EE4">
              <w:rPr>
                <w:b/>
                <w:bCs/>
                <w:sz w:val="22"/>
                <w:szCs w:val="22"/>
              </w:rPr>
              <w:t>8.3 Use information and communication technology and informatics processes to deliver safe nursing care to diverse populations in a variety of settings.</w:t>
            </w:r>
          </w:p>
          <w:p w14:paraId="7D807312" w14:textId="77777777" w:rsidR="00FE38DD" w:rsidRPr="005E0EE4" w:rsidRDefault="00FE38DD" w:rsidP="00A659E1">
            <w:pPr>
              <w:ind w:left="337"/>
              <w:rPr>
                <w:sz w:val="22"/>
                <w:szCs w:val="22"/>
              </w:rPr>
            </w:pPr>
            <w:r w:rsidRPr="005E0EE4">
              <w:rPr>
                <w:sz w:val="22"/>
                <w:szCs w:val="22"/>
              </w:rPr>
              <w:t>8.3c Use information and communication technology in a manner that supports the nurse-patient relationship (E)</w:t>
            </w:r>
          </w:p>
          <w:p w14:paraId="43CB8295" w14:textId="77777777" w:rsidR="00FE38DD" w:rsidRPr="005E0EE4" w:rsidRDefault="00FE38DD" w:rsidP="00A659E1">
            <w:pPr>
              <w:ind w:left="337"/>
              <w:rPr>
                <w:sz w:val="22"/>
                <w:szCs w:val="22"/>
              </w:rPr>
            </w:pPr>
            <w:r w:rsidRPr="005E0EE4">
              <w:rPr>
                <w:sz w:val="22"/>
                <w:szCs w:val="22"/>
              </w:rPr>
              <w:t>8.3i Appraise the role of information and communication technologies in engaging the patient and supporting the nurse-patient relationship (A)</w:t>
            </w:r>
          </w:p>
        </w:tc>
      </w:tr>
      <w:tr w:rsidR="00FE38DD" w:rsidRPr="00221A1B" w14:paraId="494920EF" w14:textId="77777777" w:rsidTr="00A659E1">
        <w:tc>
          <w:tcPr>
            <w:tcW w:w="2875" w:type="dxa"/>
          </w:tcPr>
          <w:p w14:paraId="28B21806" w14:textId="77777777" w:rsidR="00FE38DD" w:rsidRPr="00AE2D50" w:rsidRDefault="00FE38DD" w:rsidP="00A659E1">
            <w:pPr>
              <w:rPr>
                <w:sz w:val="22"/>
                <w:szCs w:val="22"/>
              </w:rPr>
            </w:pPr>
            <w:r w:rsidRPr="00AE2D50">
              <w:rPr>
                <w:b/>
                <w:bCs/>
                <w:sz w:val="22"/>
                <w:szCs w:val="22"/>
              </w:rPr>
              <w:t>Recommended Content</w:t>
            </w:r>
          </w:p>
        </w:tc>
        <w:tc>
          <w:tcPr>
            <w:tcW w:w="4680" w:type="dxa"/>
          </w:tcPr>
          <w:p w14:paraId="53506E21" w14:textId="77777777" w:rsidR="00FE38DD" w:rsidRPr="005E0EE4" w:rsidRDefault="00FE38DD" w:rsidP="00A659E1">
            <w:pPr>
              <w:rPr>
                <w:sz w:val="22"/>
                <w:szCs w:val="22"/>
              </w:rPr>
            </w:pPr>
            <w:r w:rsidRPr="005E0EE4">
              <w:rPr>
                <w:b/>
                <w:bCs/>
                <w:sz w:val="22"/>
                <w:szCs w:val="22"/>
              </w:rPr>
              <w:t>Learning Strategies</w:t>
            </w:r>
          </w:p>
        </w:tc>
        <w:tc>
          <w:tcPr>
            <w:tcW w:w="2160" w:type="dxa"/>
          </w:tcPr>
          <w:p w14:paraId="4F9DBA8F" w14:textId="77777777" w:rsidR="00FE38DD" w:rsidRPr="005E0EE4" w:rsidRDefault="00FE38DD" w:rsidP="00A659E1">
            <w:pPr>
              <w:rPr>
                <w:sz w:val="22"/>
                <w:szCs w:val="22"/>
              </w:rPr>
            </w:pPr>
            <w:r w:rsidRPr="005E0EE4">
              <w:rPr>
                <w:b/>
                <w:bCs/>
                <w:sz w:val="22"/>
                <w:szCs w:val="22"/>
              </w:rPr>
              <w:t>Assessment</w:t>
            </w:r>
          </w:p>
        </w:tc>
        <w:tc>
          <w:tcPr>
            <w:tcW w:w="4680" w:type="dxa"/>
          </w:tcPr>
          <w:p w14:paraId="710AE03B" w14:textId="77777777" w:rsidR="00FE38DD" w:rsidRPr="00AE2D50" w:rsidRDefault="00FE38DD" w:rsidP="00A659E1">
            <w:pPr>
              <w:rPr>
                <w:i/>
                <w:iCs/>
                <w:sz w:val="22"/>
                <w:szCs w:val="22"/>
              </w:rPr>
            </w:pPr>
            <w:r w:rsidRPr="00AE2D50">
              <w:rPr>
                <w:b/>
                <w:bCs/>
                <w:sz w:val="22"/>
                <w:szCs w:val="22"/>
              </w:rPr>
              <w:t>Resources and References</w:t>
            </w:r>
          </w:p>
        </w:tc>
      </w:tr>
      <w:tr w:rsidR="00FE38DD" w:rsidRPr="00221A1B" w14:paraId="451F3067" w14:textId="77777777" w:rsidTr="00A659E1">
        <w:tc>
          <w:tcPr>
            <w:tcW w:w="2875" w:type="dxa"/>
            <w:tcBorders>
              <w:bottom w:val="single" w:sz="4" w:space="0" w:color="auto"/>
            </w:tcBorders>
          </w:tcPr>
          <w:p w14:paraId="15814113" w14:textId="77777777" w:rsidR="00FE38DD" w:rsidRPr="00AE2D50" w:rsidRDefault="00FE38DD" w:rsidP="00A659E1">
            <w:pPr>
              <w:rPr>
                <w:b/>
                <w:bCs/>
                <w:sz w:val="22"/>
                <w:szCs w:val="22"/>
              </w:rPr>
            </w:pPr>
            <w:r>
              <w:rPr>
                <w:color w:val="000000" w:themeColor="text1"/>
                <w:sz w:val="22"/>
                <w:szCs w:val="22"/>
              </w:rPr>
              <w:t>COMFORT Communication Model</w:t>
            </w:r>
            <w:r>
              <w:rPr>
                <w:sz w:val="22"/>
                <w:szCs w:val="22"/>
                <w:vertAlign w:val="superscript"/>
              </w:rPr>
              <w:t>a,s,k</w:t>
            </w:r>
          </w:p>
        </w:tc>
        <w:tc>
          <w:tcPr>
            <w:tcW w:w="4680" w:type="dxa"/>
            <w:tcBorders>
              <w:bottom w:val="single" w:sz="4" w:space="0" w:color="auto"/>
            </w:tcBorders>
          </w:tcPr>
          <w:p w14:paraId="1AAA3DFC" w14:textId="77777777" w:rsidR="00FE38DD" w:rsidRPr="001D2143" w:rsidRDefault="00FE38DD" w:rsidP="00A659E1">
            <w:pPr>
              <w:rPr>
                <w:b/>
                <w:bCs/>
                <w:color w:val="FF0000"/>
                <w:sz w:val="22"/>
                <w:szCs w:val="22"/>
              </w:rPr>
            </w:pPr>
            <w:r w:rsidRPr="001D2143">
              <w:rPr>
                <w:b/>
                <w:bCs/>
                <w:color w:val="FF0000"/>
                <w:sz w:val="22"/>
                <w:szCs w:val="22"/>
              </w:rPr>
              <w:t>Entry level:</w:t>
            </w:r>
          </w:p>
          <w:p w14:paraId="1018BC59" w14:textId="77777777" w:rsidR="00FE38DD" w:rsidRPr="001D2143" w:rsidRDefault="00FE38DD" w:rsidP="00A659E1">
            <w:pPr>
              <w:rPr>
                <w:sz w:val="22"/>
                <w:szCs w:val="22"/>
              </w:rPr>
            </w:pPr>
          </w:p>
          <w:p w14:paraId="1FFE66F8" w14:textId="77777777" w:rsidR="00FE38DD" w:rsidRPr="001D2143" w:rsidRDefault="00FE38DD" w:rsidP="00A659E1">
            <w:pPr>
              <w:rPr>
                <w:sz w:val="22"/>
                <w:szCs w:val="22"/>
              </w:rPr>
            </w:pPr>
            <w:r w:rsidRPr="001D2143">
              <w:rPr>
                <w:sz w:val="22"/>
                <w:szCs w:val="22"/>
              </w:rPr>
              <w:t>-Differentiate task from relational communication in a communication interaction with patient using technology</w:t>
            </w:r>
          </w:p>
          <w:p w14:paraId="7DC0FA41" w14:textId="77777777" w:rsidR="00FE38DD" w:rsidRPr="001D2143" w:rsidRDefault="00FE38DD" w:rsidP="00A659E1">
            <w:pPr>
              <w:rPr>
                <w:sz w:val="22"/>
                <w:szCs w:val="22"/>
              </w:rPr>
            </w:pPr>
          </w:p>
          <w:p w14:paraId="6F4D785C" w14:textId="77777777" w:rsidR="00FE38DD" w:rsidRPr="001D2143" w:rsidRDefault="00FE38DD" w:rsidP="00A659E1">
            <w:pPr>
              <w:rPr>
                <w:sz w:val="22"/>
                <w:szCs w:val="22"/>
              </w:rPr>
            </w:pPr>
            <w:r w:rsidRPr="001D2143">
              <w:rPr>
                <w:sz w:val="22"/>
                <w:szCs w:val="22"/>
              </w:rPr>
              <w:t>-View a recording of an interaction in which telehealth communication can be featured for discussion</w:t>
            </w:r>
          </w:p>
          <w:p w14:paraId="0A0F5F3B" w14:textId="77777777" w:rsidR="00FE38DD" w:rsidRPr="001D2143" w:rsidRDefault="00FE38DD" w:rsidP="00A659E1">
            <w:pPr>
              <w:rPr>
                <w:sz w:val="22"/>
                <w:szCs w:val="22"/>
              </w:rPr>
            </w:pPr>
          </w:p>
          <w:p w14:paraId="0AC50D04" w14:textId="77777777" w:rsidR="00FE38DD" w:rsidRPr="001D2143" w:rsidRDefault="00FE38DD" w:rsidP="00A659E1">
            <w:pPr>
              <w:rPr>
                <w:sz w:val="22"/>
                <w:szCs w:val="22"/>
              </w:rPr>
            </w:pPr>
            <w:r w:rsidRPr="001D2143">
              <w:rPr>
                <w:b/>
                <w:bCs/>
                <w:color w:val="FF0000"/>
                <w:sz w:val="22"/>
                <w:szCs w:val="22"/>
              </w:rPr>
              <w:t>Advanced</w:t>
            </w:r>
            <w:r w:rsidRPr="001D2143">
              <w:rPr>
                <w:sz w:val="22"/>
                <w:szCs w:val="22"/>
              </w:rPr>
              <w:t>:</w:t>
            </w:r>
          </w:p>
          <w:p w14:paraId="4490F6DE" w14:textId="77777777" w:rsidR="00FE38DD" w:rsidRPr="001D2143" w:rsidRDefault="00FE38DD" w:rsidP="00A659E1">
            <w:pPr>
              <w:rPr>
                <w:sz w:val="22"/>
                <w:szCs w:val="22"/>
              </w:rPr>
            </w:pPr>
          </w:p>
          <w:p w14:paraId="085B8722" w14:textId="77777777" w:rsidR="00FE38DD" w:rsidRPr="001D2143" w:rsidRDefault="00FE38DD" w:rsidP="00A659E1">
            <w:pPr>
              <w:rPr>
                <w:sz w:val="22"/>
                <w:szCs w:val="22"/>
              </w:rPr>
            </w:pPr>
            <w:r w:rsidRPr="001D2143">
              <w:rPr>
                <w:sz w:val="22"/>
                <w:szCs w:val="22"/>
              </w:rPr>
              <w:t>-Share COVID-19 COMFORT (Wittenberg et al, 2021)</w:t>
            </w:r>
          </w:p>
          <w:p w14:paraId="3A5BC6B8" w14:textId="77777777" w:rsidR="00FE38DD" w:rsidRPr="001D2143" w:rsidRDefault="00FE38DD" w:rsidP="00A659E1">
            <w:pPr>
              <w:rPr>
                <w:sz w:val="22"/>
                <w:szCs w:val="22"/>
              </w:rPr>
            </w:pPr>
          </w:p>
          <w:p w14:paraId="6DE3507D" w14:textId="77777777" w:rsidR="00FE38DD" w:rsidRPr="001D2143" w:rsidRDefault="00FE38DD" w:rsidP="00A659E1">
            <w:pPr>
              <w:rPr>
                <w:sz w:val="22"/>
                <w:szCs w:val="22"/>
              </w:rPr>
            </w:pPr>
            <w:r w:rsidRPr="001D2143">
              <w:rPr>
                <w:sz w:val="22"/>
                <w:szCs w:val="22"/>
              </w:rPr>
              <w:t>-Former patients and family caregivers training practice for telehealth using COMFORT tenets (see Communicate Comfort App), former patients and caregivers provide assessment and feedback</w:t>
            </w:r>
          </w:p>
          <w:p w14:paraId="4493CED6" w14:textId="77777777" w:rsidR="00FE38DD" w:rsidRPr="001D2143" w:rsidRDefault="00FE38DD" w:rsidP="00A659E1">
            <w:pPr>
              <w:rPr>
                <w:sz w:val="22"/>
                <w:szCs w:val="22"/>
              </w:rPr>
            </w:pPr>
          </w:p>
          <w:p w14:paraId="7572B24B" w14:textId="77777777" w:rsidR="00FE38DD" w:rsidRPr="001D2143" w:rsidRDefault="00FE38DD" w:rsidP="00A659E1">
            <w:pPr>
              <w:rPr>
                <w:sz w:val="22"/>
                <w:szCs w:val="22"/>
              </w:rPr>
            </w:pPr>
            <w:r w:rsidRPr="001D2143">
              <w:rPr>
                <w:sz w:val="22"/>
                <w:szCs w:val="22"/>
              </w:rPr>
              <w:t>-Collect and review current technology communication practices for providers available from large policy bodies and institutions</w:t>
            </w:r>
          </w:p>
          <w:p w14:paraId="4C2EDD2F" w14:textId="77777777" w:rsidR="00FE38DD" w:rsidRPr="001D2143" w:rsidRDefault="00FE38DD" w:rsidP="00A659E1">
            <w:pPr>
              <w:rPr>
                <w:b/>
                <w:bCs/>
                <w:sz w:val="22"/>
                <w:szCs w:val="22"/>
              </w:rPr>
            </w:pPr>
          </w:p>
          <w:p w14:paraId="3CE82A51" w14:textId="77777777" w:rsidR="00FE38DD" w:rsidRPr="001D2143" w:rsidRDefault="00FE38DD" w:rsidP="00A659E1">
            <w:pPr>
              <w:rPr>
                <w:color w:val="000000" w:themeColor="text1"/>
                <w:sz w:val="22"/>
                <w:szCs w:val="22"/>
              </w:rPr>
            </w:pPr>
            <w:r w:rsidRPr="001D2143">
              <w:rPr>
                <w:color w:val="000000" w:themeColor="text1"/>
                <w:sz w:val="22"/>
                <w:szCs w:val="22"/>
              </w:rPr>
              <w:t>-Develop tools to practice patient-centered care via electronic communication formats of phone, telehealth, and portal interaction; peer evaluation</w:t>
            </w:r>
          </w:p>
          <w:p w14:paraId="31AC41E3" w14:textId="77777777" w:rsidR="00FE38DD" w:rsidRPr="001D2143" w:rsidRDefault="00FE38DD" w:rsidP="00A659E1">
            <w:pPr>
              <w:rPr>
                <w:color w:val="000000" w:themeColor="text1"/>
                <w:sz w:val="22"/>
                <w:szCs w:val="22"/>
              </w:rPr>
            </w:pPr>
          </w:p>
          <w:p w14:paraId="18366F81" w14:textId="77777777" w:rsidR="006E0965" w:rsidRDefault="00FE38DD" w:rsidP="006E0965">
            <w:pPr>
              <w:rPr>
                <w:color w:val="000000" w:themeColor="text1"/>
                <w:sz w:val="22"/>
                <w:szCs w:val="22"/>
              </w:rPr>
            </w:pPr>
            <w:r w:rsidRPr="001D2143">
              <w:rPr>
                <w:color w:val="000000" w:themeColor="text1"/>
                <w:sz w:val="22"/>
                <w:szCs w:val="22"/>
              </w:rPr>
              <w:t>-Role play troubles telling to a nurse using telehealth simulation to feature narrative clinical practice</w:t>
            </w:r>
          </w:p>
          <w:p w14:paraId="7BEC37E6" w14:textId="77777777" w:rsidR="006E0965" w:rsidRDefault="006E0965" w:rsidP="006E0965">
            <w:pPr>
              <w:rPr>
                <w:color w:val="000000" w:themeColor="text1"/>
                <w:sz w:val="22"/>
                <w:szCs w:val="22"/>
              </w:rPr>
            </w:pPr>
          </w:p>
          <w:p w14:paraId="1C23E771" w14:textId="1F97F998" w:rsidR="006E0965" w:rsidRPr="006E0965" w:rsidRDefault="006E0965" w:rsidP="006E0965">
            <w:pPr>
              <w:rPr>
                <w:color w:val="000000" w:themeColor="text1"/>
                <w:sz w:val="22"/>
                <w:szCs w:val="22"/>
              </w:rPr>
            </w:pPr>
            <w:r w:rsidRPr="00642C21">
              <w:rPr>
                <w:color w:val="000000" w:themeColor="text1"/>
                <w:sz w:val="22"/>
                <w:szCs w:val="22"/>
              </w:rPr>
              <w:lastRenderedPageBreak/>
              <w:t>-</w:t>
            </w:r>
            <w:r w:rsidR="00F12F3C" w:rsidRPr="00642C21">
              <w:rPr>
                <w:color w:val="000000" w:themeColor="text1"/>
                <w:sz w:val="22"/>
                <w:szCs w:val="22"/>
              </w:rPr>
              <w:t>D</w:t>
            </w:r>
            <w:r w:rsidR="00EC6463" w:rsidRPr="00642C21">
              <w:rPr>
                <w:color w:val="000000" w:themeColor="text1"/>
                <w:sz w:val="22"/>
                <w:szCs w:val="22"/>
              </w:rPr>
              <w:t>esign</w:t>
            </w:r>
            <w:r w:rsidRPr="00642C21">
              <w:rPr>
                <w:color w:val="000000" w:themeColor="text1"/>
                <w:sz w:val="22"/>
                <w:szCs w:val="22"/>
              </w:rPr>
              <w:t xml:space="preserve"> safe </w:t>
            </w:r>
            <w:r w:rsidR="008A5599" w:rsidRPr="00642C21">
              <w:rPr>
                <w:color w:val="000000" w:themeColor="text1"/>
                <w:sz w:val="22"/>
                <w:szCs w:val="22"/>
              </w:rPr>
              <w:t>areas</w:t>
            </w:r>
            <w:r w:rsidRPr="00642C21">
              <w:rPr>
                <w:color w:val="000000" w:themeColor="text1"/>
                <w:sz w:val="22"/>
                <w:szCs w:val="22"/>
              </w:rPr>
              <w:t xml:space="preserve"> </w:t>
            </w:r>
            <w:r w:rsidR="008A5599" w:rsidRPr="00642C21">
              <w:rPr>
                <w:color w:val="000000" w:themeColor="text1"/>
                <w:sz w:val="22"/>
                <w:szCs w:val="22"/>
              </w:rPr>
              <w:t xml:space="preserve">within healthcare facilities </w:t>
            </w:r>
            <w:r w:rsidR="00F12F3C" w:rsidRPr="00642C21">
              <w:rPr>
                <w:color w:val="000000" w:themeColor="text1"/>
                <w:sz w:val="22"/>
                <w:szCs w:val="22"/>
              </w:rPr>
              <w:t>for open and r</w:t>
            </w:r>
            <w:r w:rsidR="008A5599" w:rsidRPr="00642C21">
              <w:rPr>
                <w:color w:val="000000" w:themeColor="text1"/>
                <w:sz w:val="22"/>
                <w:szCs w:val="22"/>
              </w:rPr>
              <w:t>e</w:t>
            </w:r>
            <w:r w:rsidR="00F12F3C" w:rsidRPr="00642C21">
              <w:rPr>
                <w:color w:val="000000" w:themeColor="text1"/>
                <w:sz w:val="22"/>
                <w:szCs w:val="22"/>
              </w:rPr>
              <w:t>spectful dialogue with patients, families, and/or healthcare personne</w:t>
            </w:r>
            <w:r w:rsidR="008A5599" w:rsidRPr="00642C21">
              <w:rPr>
                <w:color w:val="000000" w:themeColor="text1"/>
                <w:sz w:val="22"/>
                <w:szCs w:val="22"/>
              </w:rPr>
              <w:t>l</w:t>
            </w:r>
            <w:r w:rsidR="00EC6463" w:rsidRPr="00642C21">
              <w:rPr>
                <w:color w:val="000000" w:themeColor="text1"/>
                <w:sz w:val="22"/>
                <w:szCs w:val="22"/>
              </w:rPr>
              <w:t>.</w:t>
            </w:r>
            <w:r w:rsidR="00EC6463">
              <w:rPr>
                <w:color w:val="000000" w:themeColor="text1"/>
                <w:sz w:val="22"/>
                <w:szCs w:val="22"/>
              </w:rPr>
              <w:t xml:space="preserve"> </w:t>
            </w:r>
          </w:p>
        </w:tc>
        <w:tc>
          <w:tcPr>
            <w:tcW w:w="2160" w:type="dxa"/>
            <w:tcBorders>
              <w:bottom w:val="single" w:sz="4" w:space="0" w:color="auto"/>
            </w:tcBorders>
          </w:tcPr>
          <w:p w14:paraId="28728F07" w14:textId="77777777" w:rsidR="00FE38DD" w:rsidRPr="001D2143" w:rsidRDefault="00FE38DD" w:rsidP="00A659E1">
            <w:pPr>
              <w:rPr>
                <w:sz w:val="22"/>
                <w:szCs w:val="22"/>
              </w:rPr>
            </w:pPr>
            <w:r w:rsidRPr="001D2143">
              <w:rPr>
                <w:sz w:val="22"/>
                <w:szCs w:val="22"/>
              </w:rPr>
              <w:lastRenderedPageBreak/>
              <w:t>Nursing students’ attitudes toward information and communication technology scale (Lee &amp; Clarke, 2015)</w:t>
            </w:r>
          </w:p>
          <w:p w14:paraId="4DE5C321" w14:textId="77777777" w:rsidR="00FE38DD" w:rsidRPr="001D2143" w:rsidRDefault="00FE38DD" w:rsidP="00A659E1">
            <w:pPr>
              <w:rPr>
                <w:sz w:val="22"/>
                <w:szCs w:val="22"/>
              </w:rPr>
            </w:pPr>
          </w:p>
          <w:p w14:paraId="027B9CB0" w14:textId="77777777" w:rsidR="00FE38DD" w:rsidRPr="001D2143" w:rsidRDefault="00FE38DD" w:rsidP="00A659E1">
            <w:pPr>
              <w:rPr>
                <w:sz w:val="22"/>
                <w:szCs w:val="22"/>
              </w:rPr>
            </w:pPr>
            <w:r w:rsidRPr="001D2143">
              <w:rPr>
                <w:sz w:val="22"/>
                <w:szCs w:val="22"/>
              </w:rPr>
              <w:t>Individualized Care Scale-nurse’s version (Suhonen, Gustafsson, Katajisto, Valimaki, Leino-Kilpi, 2010)</w:t>
            </w:r>
          </w:p>
          <w:p w14:paraId="5B36BB4A" w14:textId="77777777" w:rsidR="00FE38DD" w:rsidRPr="001D2143" w:rsidRDefault="00FE38DD" w:rsidP="00A659E1">
            <w:pPr>
              <w:rPr>
                <w:sz w:val="22"/>
                <w:szCs w:val="22"/>
              </w:rPr>
            </w:pPr>
          </w:p>
          <w:p w14:paraId="5DBBFE4B" w14:textId="77777777" w:rsidR="00FE38DD" w:rsidRPr="001D2143" w:rsidRDefault="00FE38DD" w:rsidP="00A659E1">
            <w:pPr>
              <w:rPr>
                <w:sz w:val="22"/>
                <w:szCs w:val="22"/>
              </w:rPr>
            </w:pPr>
            <w:r w:rsidRPr="001D2143">
              <w:rPr>
                <w:sz w:val="22"/>
                <w:szCs w:val="22"/>
              </w:rPr>
              <w:t>Self-assessment of Nursing Informatics Competencies Scale (Yoon et al., 2009)</w:t>
            </w:r>
          </w:p>
          <w:p w14:paraId="1017701F" w14:textId="77777777" w:rsidR="00FE38DD" w:rsidRPr="001D2143" w:rsidRDefault="00FE38DD" w:rsidP="00A659E1">
            <w:pPr>
              <w:rPr>
                <w:sz w:val="22"/>
                <w:szCs w:val="22"/>
              </w:rPr>
            </w:pPr>
          </w:p>
          <w:p w14:paraId="6E3505D0" w14:textId="77777777" w:rsidR="00FE38DD" w:rsidRPr="001D2143" w:rsidRDefault="00FE38DD" w:rsidP="00A659E1">
            <w:pPr>
              <w:rPr>
                <w:sz w:val="22"/>
                <w:szCs w:val="22"/>
              </w:rPr>
            </w:pPr>
            <w:r w:rsidRPr="001D2143">
              <w:rPr>
                <w:sz w:val="22"/>
                <w:szCs w:val="22"/>
              </w:rPr>
              <w:t>Canadian Nurse Informatics Competency Assessment Scale (Kleib &amp; Nagle, 2018)</w:t>
            </w:r>
          </w:p>
          <w:p w14:paraId="032CF161" w14:textId="77777777" w:rsidR="00FE38DD" w:rsidRPr="001D2143" w:rsidRDefault="00FE38DD" w:rsidP="00A659E1">
            <w:pPr>
              <w:rPr>
                <w:sz w:val="22"/>
                <w:szCs w:val="22"/>
              </w:rPr>
            </w:pPr>
          </w:p>
          <w:p w14:paraId="6E34D09B" w14:textId="77777777" w:rsidR="00FE38DD" w:rsidRPr="001D2143" w:rsidRDefault="00FE38DD" w:rsidP="00A659E1">
            <w:pPr>
              <w:rPr>
                <w:sz w:val="22"/>
                <w:szCs w:val="22"/>
              </w:rPr>
            </w:pPr>
            <w:r w:rsidRPr="001D2143">
              <w:rPr>
                <w:sz w:val="22"/>
                <w:szCs w:val="22"/>
              </w:rPr>
              <w:t xml:space="preserve">Nursing Telehealth Communication Skills </w:t>
            </w:r>
            <w:r>
              <w:rPr>
                <w:sz w:val="22"/>
                <w:szCs w:val="22"/>
              </w:rPr>
              <w:t>(van Houwelingen et al., 2016)</w:t>
            </w:r>
          </w:p>
        </w:tc>
        <w:tc>
          <w:tcPr>
            <w:tcW w:w="4680" w:type="dxa"/>
            <w:tcBorders>
              <w:bottom w:val="single" w:sz="4" w:space="0" w:color="auto"/>
            </w:tcBorders>
          </w:tcPr>
          <w:p w14:paraId="7B33B741" w14:textId="77777777" w:rsidR="00FE38DD" w:rsidRPr="009021FE" w:rsidRDefault="00FE38DD" w:rsidP="00A659E1">
            <w:pPr>
              <w:autoSpaceDE w:val="0"/>
              <w:autoSpaceDN w:val="0"/>
              <w:adjustRightInd w:val="0"/>
              <w:rPr>
                <w:sz w:val="22"/>
                <w:szCs w:val="22"/>
              </w:rPr>
            </w:pPr>
            <w:r w:rsidRPr="002C1E35">
              <w:rPr>
                <w:sz w:val="22"/>
                <w:szCs w:val="22"/>
              </w:rPr>
              <w:t xml:space="preserve">Wittenberg, E., Goldsmith, J. V., Chen, C., Prince-Paul, M., &amp; Capper, B. (2021, Dec). COVID 19-transformed nursing education and communication competency: Testing COMFORT educational resources. </w:t>
            </w:r>
            <w:r w:rsidRPr="002C1E35">
              <w:rPr>
                <w:i/>
                <w:iCs/>
                <w:sz w:val="22"/>
                <w:szCs w:val="22"/>
              </w:rPr>
              <w:t>Nurse Educ Today, 107</w:t>
            </w:r>
            <w:r w:rsidRPr="002C1E35">
              <w:rPr>
                <w:sz w:val="22"/>
                <w:szCs w:val="22"/>
              </w:rPr>
              <w:t>, 105105.</w:t>
            </w:r>
          </w:p>
          <w:p w14:paraId="0A0A2D94" w14:textId="77777777" w:rsidR="00FE38DD" w:rsidRDefault="00FE38DD" w:rsidP="00A659E1">
            <w:pPr>
              <w:autoSpaceDE w:val="0"/>
              <w:autoSpaceDN w:val="0"/>
              <w:adjustRightInd w:val="0"/>
              <w:rPr>
                <w:rFonts w:eastAsiaTheme="minorHAnsi"/>
                <w:sz w:val="22"/>
                <w:szCs w:val="22"/>
              </w:rPr>
            </w:pPr>
          </w:p>
          <w:p w14:paraId="43834F12" w14:textId="77777777" w:rsidR="00FE38DD" w:rsidRDefault="00FE38DD" w:rsidP="00A659E1">
            <w:pPr>
              <w:autoSpaceDE w:val="0"/>
              <w:autoSpaceDN w:val="0"/>
              <w:adjustRightInd w:val="0"/>
              <w:rPr>
                <w:rFonts w:eastAsiaTheme="minorHAnsi"/>
                <w:sz w:val="22"/>
                <w:szCs w:val="22"/>
              </w:rPr>
            </w:pPr>
            <w:r>
              <w:rPr>
                <w:rFonts w:eastAsiaTheme="minorHAnsi"/>
                <w:sz w:val="22"/>
                <w:szCs w:val="22"/>
              </w:rPr>
              <w:t>Nursing Faculty Guide for Teaching COVID-19 Communication</w:t>
            </w:r>
          </w:p>
          <w:p w14:paraId="1F7D4A3F" w14:textId="77777777" w:rsidR="00FE38DD" w:rsidRDefault="00337990" w:rsidP="00A659E1">
            <w:pPr>
              <w:autoSpaceDE w:val="0"/>
              <w:autoSpaceDN w:val="0"/>
              <w:adjustRightInd w:val="0"/>
              <w:rPr>
                <w:rFonts w:eastAsiaTheme="minorHAnsi"/>
                <w:sz w:val="22"/>
                <w:szCs w:val="22"/>
              </w:rPr>
            </w:pPr>
            <w:hyperlink r:id="rId18" w:history="1">
              <w:r w:rsidR="00FE38DD" w:rsidRPr="005143B6">
                <w:rPr>
                  <w:rStyle w:val="Hyperlink"/>
                  <w:rFonts w:eastAsiaTheme="minorHAnsi"/>
                  <w:sz w:val="22"/>
                  <w:szCs w:val="22"/>
                </w:rPr>
                <w:t>www.CommunicateComfort.com</w:t>
              </w:r>
            </w:hyperlink>
          </w:p>
          <w:p w14:paraId="24960B29" w14:textId="77777777" w:rsidR="00FE38DD" w:rsidRDefault="00FE38DD" w:rsidP="00A659E1">
            <w:pPr>
              <w:autoSpaceDE w:val="0"/>
              <w:autoSpaceDN w:val="0"/>
              <w:adjustRightInd w:val="0"/>
              <w:rPr>
                <w:rFonts w:eastAsiaTheme="minorHAnsi"/>
                <w:sz w:val="22"/>
                <w:szCs w:val="22"/>
              </w:rPr>
            </w:pPr>
          </w:p>
          <w:p w14:paraId="2B36E72F" w14:textId="77777777" w:rsidR="00FE38DD" w:rsidRDefault="00FE38DD" w:rsidP="00A659E1">
            <w:pPr>
              <w:autoSpaceDE w:val="0"/>
              <w:autoSpaceDN w:val="0"/>
              <w:adjustRightInd w:val="0"/>
              <w:rPr>
                <w:sz w:val="22"/>
                <w:szCs w:val="22"/>
              </w:rPr>
            </w:pPr>
            <w:r>
              <w:rPr>
                <w:sz w:val="22"/>
                <w:szCs w:val="22"/>
              </w:rPr>
              <w:t xml:space="preserve">Lee, J.J., &amp; Clarke, C.L. (2015). Nursing students’ attitudes towards information and communication technology: an exploratory and confirmatory factor analytic approach. </w:t>
            </w:r>
            <w:r>
              <w:rPr>
                <w:i/>
                <w:iCs/>
                <w:sz w:val="22"/>
                <w:szCs w:val="22"/>
              </w:rPr>
              <w:t>Journal of Advanced Nursing,71(5)</w:t>
            </w:r>
            <w:r>
              <w:rPr>
                <w:sz w:val="22"/>
                <w:szCs w:val="22"/>
              </w:rPr>
              <w:t>, 1181-1193.</w:t>
            </w:r>
          </w:p>
          <w:p w14:paraId="744FADE5" w14:textId="77777777" w:rsidR="00FE38DD" w:rsidRDefault="00FE38DD" w:rsidP="00A659E1">
            <w:pPr>
              <w:autoSpaceDE w:val="0"/>
              <w:autoSpaceDN w:val="0"/>
              <w:adjustRightInd w:val="0"/>
              <w:rPr>
                <w:sz w:val="22"/>
                <w:szCs w:val="22"/>
              </w:rPr>
            </w:pPr>
          </w:p>
          <w:p w14:paraId="2FCF1065" w14:textId="77777777" w:rsidR="00FE38DD" w:rsidRPr="00B16F61" w:rsidRDefault="00FE38DD" w:rsidP="00A659E1">
            <w:pPr>
              <w:autoSpaceDE w:val="0"/>
              <w:autoSpaceDN w:val="0"/>
              <w:adjustRightInd w:val="0"/>
              <w:rPr>
                <w:sz w:val="22"/>
                <w:szCs w:val="22"/>
              </w:rPr>
            </w:pPr>
            <w:r w:rsidRPr="00B16F61">
              <w:rPr>
                <w:sz w:val="22"/>
                <w:szCs w:val="22"/>
              </w:rPr>
              <w:t xml:space="preserve">Park, M., Giap, T. T., Jang, I., Jeong, M., &amp; Kim, J. (2022, Jan). Listening to patients' voices: Applying the design-thinking method for teaching person-centered care to nursing students. </w:t>
            </w:r>
            <w:r w:rsidRPr="00B16F61">
              <w:rPr>
                <w:i/>
                <w:iCs/>
                <w:sz w:val="22"/>
                <w:szCs w:val="22"/>
              </w:rPr>
              <w:t>Nurs Forum, 57</w:t>
            </w:r>
            <w:r w:rsidRPr="00B16F61">
              <w:rPr>
                <w:sz w:val="22"/>
                <w:szCs w:val="22"/>
              </w:rPr>
              <w:t xml:space="preserve">(1), 9-17. https://doi.org/10.1111/nuf.12641 </w:t>
            </w:r>
          </w:p>
          <w:p w14:paraId="35B4C33E" w14:textId="77777777" w:rsidR="00FE38DD" w:rsidRDefault="00FE38DD" w:rsidP="00A659E1">
            <w:pPr>
              <w:rPr>
                <w:b/>
                <w:bCs/>
                <w:sz w:val="22"/>
                <w:szCs w:val="22"/>
              </w:rPr>
            </w:pPr>
          </w:p>
          <w:p w14:paraId="72B2DF1D" w14:textId="77777777" w:rsidR="00FE38DD" w:rsidRPr="006A72D3" w:rsidRDefault="00FE38DD" w:rsidP="00A659E1">
            <w:pPr>
              <w:autoSpaceDE w:val="0"/>
              <w:autoSpaceDN w:val="0"/>
              <w:adjustRightInd w:val="0"/>
              <w:rPr>
                <w:rFonts w:eastAsiaTheme="minorHAnsi"/>
                <w:sz w:val="22"/>
                <w:szCs w:val="22"/>
              </w:rPr>
            </w:pPr>
            <w:r w:rsidRPr="006A72D3">
              <w:rPr>
                <w:rFonts w:eastAsiaTheme="minorHAnsi"/>
                <w:sz w:val="22"/>
                <w:szCs w:val="22"/>
              </w:rPr>
              <w:t xml:space="preserve">Legare, E., Vincent, C., Lehoux, P., Anderson, D., Kairy, D., Gagnon, M. P., &amp; Jennett, P. (2010). Telehealth readiness assessment tools. </w:t>
            </w:r>
            <w:r w:rsidRPr="006A72D3">
              <w:rPr>
                <w:rFonts w:eastAsiaTheme="minorHAnsi"/>
                <w:i/>
                <w:iCs/>
                <w:sz w:val="22"/>
                <w:szCs w:val="22"/>
              </w:rPr>
              <w:t>J Telemed Telecare, 16</w:t>
            </w:r>
            <w:r w:rsidRPr="006A72D3">
              <w:rPr>
                <w:rFonts w:eastAsiaTheme="minorHAnsi"/>
                <w:sz w:val="22"/>
                <w:szCs w:val="22"/>
              </w:rPr>
              <w:t>(3), 107-109.</w:t>
            </w:r>
          </w:p>
          <w:p w14:paraId="53264136" w14:textId="77777777" w:rsidR="00FE38DD" w:rsidRDefault="00FE38DD" w:rsidP="00A659E1">
            <w:pPr>
              <w:rPr>
                <w:sz w:val="22"/>
                <w:szCs w:val="22"/>
              </w:rPr>
            </w:pPr>
          </w:p>
          <w:p w14:paraId="7DA0A12F" w14:textId="77777777" w:rsidR="00FE38DD" w:rsidRDefault="00FE38DD" w:rsidP="00A659E1">
            <w:pPr>
              <w:autoSpaceDE w:val="0"/>
              <w:autoSpaceDN w:val="0"/>
              <w:adjustRightInd w:val="0"/>
              <w:ind w:left="27" w:right="24"/>
              <w:rPr>
                <w:rFonts w:eastAsiaTheme="minorHAnsi"/>
                <w:sz w:val="22"/>
                <w:szCs w:val="22"/>
              </w:rPr>
            </w:pPr>
            <w:r w:rsidRPr="00DD6DDD">
              <w:rPr>
                <w:rFonts w:eastAsiaTheme="minorHAnsi"/>
                <w:sz w:val="22"/>
                <w:szCs w:val="22"/>
              </w:rPr>
              <w:t xml:space="preserve">Kleib, M., Chauvette, A., Furlong, K., Nagle, L., Slater, L., &amp; McCloskey, R. (2021, Apr). Approaches for defining and assessing nursing </w:t>
            </w:r>
            <w:r w:rsidRPr="00DD6DDD">
              <w:rPr>
                <w:rFonts w:eastAsiaTheme="minorHAnsi"/>
                <w:sz w:val="22"/>
                <w:szCs w:val="22"/>
              </w:rPr>
              <w:lastRenderedPageBreak/>
              <w:t xml:space="preserve">informatics competencies: a scoping review. </w:t>
            </w:r>
            <w:r w:rsidRPr="00DD6DDD">
              <w:rPr>
                <w:rFonts w:eastAsiaTheme="minorHAnsi"/>
                <w:i/>
                <w:iCs/>
                <w:sz w:val="22"/>
                <w:szCs w:val="22"/>
              </w:rPr>
              <w:t>JBI Evid Synth, 19</w:t>
            </w:r>
            <w:r w:rsidRPr="00DD6DDD">
              <w:rPr>
                <w:rFonts w:eastAsiaTheme="minorHAnsi"/>
                <w:sz w:val="22"/>
                <w:szCs w:val="22"/>
              </w:rPr>
              <w:t xml:space="preserve">(4), 794-841. </w:t>
            </w:r>
          </w:p>
          <w:p w14:paraId="59268FD7" w14:textId="77777777" w:rsidR="008A5599" w:rsidRDefault="008A5599" w:rsidP="00A659E1">
            <w:pPr>
              <w:rPr>
                <w:rStyle w:val="authors"/>
                <w:rFonts w:ascii="Helvetica" w:hAnsi="Helvetica" w:cs="Helvetica"/>
                <w:color w:val="2D2E32"/>
                <w:sz w:val="18"/>
                <w:szCs w:val="18"/>
                <w:shd w:val="clear" w:color="auto" w:fill="FFFFFF"/>
              </w:rPr>
            </w:pPr>
          </w:p>
          <w:p w14:paraId="136CBF42" w14:textId="1C3C877D" w:rsidR="00FE38DD" w:rsidRPr="00642C21" w:rsidRDefault="008A5599" w:rsidP="00A659E1">
            <w:pPr>
              <w:rPr>
                <w:b/>
                <w:bCs/>
                <w:color w:val="000000" w:themeColor="text1"/>
                <w:sz w:val="22"/>
                <w:szCs w:val="22"/>
              </w:rPr>
            </w:pPr>
            <w:r w:rsidRPr="00642C21">
              <w:rPr>
                <w:rStyle w:val="authors"/>
                <w:color w:val="000000" w:themeColor="text1"/>
                <w:sz w:val="22"/>
                <w:szCs w:val="22"/>
                <w:shd w:val="clear" w:color="auto" w:fill="FFFFFF"/>
              </w:rPr>
              <w:t>Gullo, S., Kuhlmann, A.S., Galavotti, C., Msiska, T., Nathan Marti, C., &amp; Hastings, P.</w:t>
            </w:r>
            <w:r w:rsidRPr="00642C21">
              <w:rPr>
                <w:rStyle w:val="dop"/>
                <w:color w:val="000000" w:themeColor="text1"/>
                <w:sz w:val="22"/>
                <w:szCs w:val="22"/>
                <w:shd w:val="clear" w:color="auto" w:fill="FFFFFF"/>
              </w:rPr>
              <w:t> (2018, November 14). </w:t>
            </w:r>
            <w:r w:rsidRPr="00642C21">
              <w:rPr>
                <w:rStyle w:val="item-title"/>
                <w:color w:val="000000" w:themeColor="text1"/>
                <w:sz w:val="22"/>
                <w:szCs w:val="22"/>
                <w:shd w:val="clear" w:color="auto" w:fill="FFFFFF"/>
              </w:rPr>
              <w:t>Creating spaces for dialogue: A cluster-randomized evaluation of CARE’s Community Score Card on health governance outcomes.</w:t>
            </w:r>
            <w:r w:rsidRPr="00642C21">
              <w:rPr>
                <w:color w:val="000000" w:themeColor="text1"/>
                <w:sz w:val="22"/>
                <w:szCs w:val="22"/>
                <w:shd w:val="clear" w:color="auto" w:fill="FFFFFF"/>
              </w:rPr>
              <w:t> BMC Health Services Research</w:t>
            </w:r>
            <w:r w:rsidRPr="00642C21">
              <w:rPr>
                <w:rStyle w:val="volissue"/>
                <w:color w:val="000000" w:themeColor="text1"/>
                <w:sz w:val="22"/>
                <w:szCs w:val="22"/>
                <w:shd w:val="clear" w:color="auto" w:fill="FFFFFF"/>
              </w:rPr>
              <w:t>, 18(1)</w:t>
            </w:r>
            <w:r w:rsidRPr="00642C21">
              <w:rPr>
                <w:color w:val="000000" w:themeColor="text1"/>
                <w:sz w:val="22"/>
                <w:szCs w:val="22"/>
                <w:shd w:val="clear" w:color="auto" w:fill="FFFFFF"/>
              </w:rPr>
              <w:t>.</w:t>
            </w:r>
            <w:r w:rsidRPr="00642C21">
              <w:rPr>
                <w:rStyle w:val="doi"/>
                <w:color w:val="000000" w:themeColor="text1"/>
                <w:sz w:val="22"/>
                <w:szCs w:val="22"/>
                <w:shd w:val="clear" w:color="auto" w:fill="FFFFFF"/>
              </w:rPr>
              <w:t> https://doi.org/10.1186/s12913-018-3651-3</w:t>
            </w:r>
          </w:p>
          <w:p w14:paraId="16548FD9" w14:textId="03DB698C" w:rsidR="008A5599" w:rsidRPr="00AE2D50" w:rsidRDefault="008A5599" w:rsidP="00A659E1">
            <w:pPr>
              <w:rPr>
                <w:b/>
                <w:bCs/>
                <w:sz w:val="22"/>
                <w:szCs w:val="22"/>
              </w:rPr>
            </w:pPr>
          </w:p>
        </w:tc>
      </w:tr>
    </w:tbl>
    <w:p w14:paraId="5890BE93" w14:textId="77777777" w:rsidR="00FE38DD" w:rsidRPr="00CE5BCF" w:rsidRDefault="00FE38DD" w:rsidP="00A659E1">
      <w:pPr>
        <w:rPr>
          <w:sz w:val="22"/>
          <w:szCs w:val="22"/>
        </w:rPr>
      </w:pPr>
      <w:r w:rsidRPr="00CE5BCF">
        <w:rPr>
          <w:sz w:val="22"/>
          <w:szCs w:val="22"/>
        </w:rPr>
        <w:lastRenderedPageBreak/>
        <w:t>*E=entry-level; A=advanced-level</w:t>
      </w:r>
    </w:p>
    <w:p w14:paraId="43EC0177" w14:textId="77777777" w:rsidR="00FE38DD" w:rsidRPr="00A017C7" w:rsidRDefault="00FE38DD" w:rsidP="00A659E1">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500119EE" w14:textId="77777777" w:rsidR="00FE38DD" w:rsidRDefault="00FE38DD" w:rsidP="00A659E1">
      <w:pPr>
        <w:rPr>
          <w:sz w:val="22"/>
          <w:szCs w:val="22"/>
        </w:rPr>
      </w:pPr>
    </w:p>
    <w:p w14:paraId="554CA849" w14:textId="77777777" w:rsidR="00FE38DD" w:rsidRDefault="00FE38DD" w:rsidP="00A659E1">
      <w:pPr>
        <w:rPr>
          <w:b/>
          <w:bCs/>
          <w:sz w:val="22"/>
          <w:szCs w:val="22"/>
        </w:rPr>
      </w:pPr>
    </w:p>
    <w:p w14:paraId="78E0D6C7" w14:textId="77777777" w:rsidR="00FE38DD" w:rsidRPr="00CB1592" w:rsidRDefault="00FE38DD" w:rsidP="00A659E1">
      <w:pPr>
        <w:rPr>
          <w:b/>
          <w:bCs/>
          <w:sz w:val="22"/>
          <w:szCs w:val="22"/>
        </w:rPr>
      </w:pPr>
      <w:r>
        <w:rPr>
          <w:b/>
          <w:bCs/>
          <w:sz w:val="22"/>
          <w:szCs w:val="22"/>
        </w:rPr>
        <w:t>Domain 9. Professionalism</w:t>
      </w:r>
    </w:p>
    <w:tbl>
      <w:tblPr>
        <w:tblStyle w:val="TableGrid"/>
        <w:tblW w:w="14395" w:type="dxa"/>
        <w:tblLook w:val="04A0" w:firstRow="1" w:lastRow="0" w:firstColumn="1" w:lastColumn="0" w:noHBand="0" w:noVBand="1"/>
      </w:tblPr>
      <w:tblGrid>
        <w:gridCol w:w="2875"/>
        <w:gridCol w:w="4680"/>
        <w:gridCol w:w="2160"/>
        <w:gridCol w:w="4680"/>
      </w:tblGrid>
      <w:tr w:rsidR="00FE38DD" w:rsidRPr="00221A1B" w14:paraId="75785D20" w14:textId="77777777" w:rsidTr="00A659E1">
        <w:tc>
          <w:tcPr>
            <w:tcW w:w="14395" w:type="dxa"/>
            <w:gridSpan w:val="4"/>
            <w:tcBorders>
              <w:bottom w:val="single" w:sz="4" w:space="0" w:color="auto"/>
            </w:tcBorders>
            <w:shd w:val="clear" w:color="auto" w:fill="D9D9D9" w:themeFill="background1" w:themeFillShade="D9"/>
          </w:tcPr>
          <w:p w14:paraId="649C7D76" w14:textId="77777777" w:rsidR="00FE38DD" w:rsidRDefault="00FE38DD" w:rsidP="00A659E1">
            <w:pPr>
              <w:rPr>
                <w:b/>
                <w:bCs/>
                <w:sz w:val="22"/>
                <w:szCs w:val="22"/>
              </w:rPr>
            </w:pPr>
            <w:r w:rsidRPr="00AB77B1">
              <w:rPr>
                <w:b/>
                <w:bCs/>
                <w:sz w:val="22"/>
                <w:szCs w:val="22"/>
              </w:rPr>
              <w:t>9.2 Employ participatory approach to nursing care.</w:t>
            </w:r>
          </w:p>
          <w:p w14:paraId="62860ABB" w14:textId="77777777" w:rsidR="00FE38DD" w:rsidRDefault="00FE38DD" w:rsidP="00A659E1">
            <w:pPr>
              <w:ind w:left="337"/>
              <w:rPr>
                <w:sz w:val="22"/>
                <w:szCs w:val="22"/>
              </w:rPr>
            </w:pPr>
            <w:r>
              <w:rPr>
                <w:sz w:val="22"/>
                <w:szCs w:val="22"/>
              </w:rPr>
              <w:t xml:space="preserve">9.2a Employ the use of intentional presence to facilitate shared meaning of the experience between nurse and recipient of care </w:t>
            </w:r>
            <w:r w:rsidRPr="005E0EE4">
              <w:rPr>
                <w:sz w:val="22"/>
                <w:szCs w:val="22"/>
              </w:rPr>
              <w:t>(E)</w:t>
            </w:r>
          </w:p>
          <w:p w14:paraId="4B56933B" w14:textId="77777777" w:rsidR="00FE38DD" w:rsidRDefault="00FE38DD" w:rsidP="00A659E1">
            <w:pPr>
              <w:ind w:left="337"/>
              <w:rPr>
                <w:sz w:val="22"/>
                <w:szCs w:val="22"/>
              </w:rPr>
            </w:pPr>
            <w:r>
              <w:rPr>
                <w:sz w:val="22"/>
                <w:szCs w:val="22"/>
              </w:rPr>
              <w:t xml:space="preserve">9.2b Facilitate health and healing through compassionate caring </w:t>
            </w:r>
            <w:r w:rsidRPr="005E0EE4">
              <w:rPr>
                <w:sz w:val="22"/>
                <w:szCs w:val="22"/>
              </w:rPr>
              <w:t>(E)</w:t>
            </w:r>
          </w:p>
          <w:p w14:paraId="535B1C78" w14:textId="77777777" w:rsidR="00FE38DD" w:rsidRDefault="00FE38DD" w:rsidP="00A659E1">
            <w:pPr>
              <w:ind w:left="337"/>
              <w:rPr>
                <w:sz w:val="22"/>
                <w:szCs w:val="22"/>
              </w:rPr>
            </w:pPr>
            <w:r>
              <w:rPr>
                <w:sz w:val="22"/>
                <w:szCs w:val="22"/>
              </w:rPr>
              <w:t xml:space="preserve">9.2c Demonstrate empathy to the individual’s life experience </w:t>
            </w:r>
            <w:r w:rsidRPr="005E0EE4">
              <w:rPr>
                <w:sz w:val="22"/>
                <w:szCs w:val="22"/>
              </w:rPr>
              <w:t>(E)</w:t>
            </w:r>
          </w:p>
          <w:p w14:paraId="695FFFDB" w14:textId="77777777" w:rsidR="00FE38DD" w:rsidRDefault="00FE38DD" w:rsidP="00A659E1">
            <w:pPr>
              <w:ind w:left="337"/>
              <w:rPr>
                <w:sz w:val="22"/>
                <w:szCs w:val="22"/>
              </w:rPr>
            </w:pPr>
            <w:r>
              <w:rPr>
                <w:sz w:val="22"/>
                <w:szCs w:val="22"/>
              </w:rPr>
              <w:t xml:space="preserve">9.2f Apply principles of therapeutic relationships and professional boundaries </w:t>
            </w:r>
            <w:r w:rsidRPr="005E0EE4">
              <w:rPr>
                <w:sz w:val="22"/>
                <w:szCs w:val="22"/>
              </w:rPr>
              <w:t>(E)</w:t>
            </w:r>
          </w:p>
          <w:p w14:paraId="22E773B7" w14:textId="77777777" w:rsidR="00FE38DD" w:rsidRDefault="00FE38DD" w:rsidP="00A659E1">
            <w:pPr>
              <w:ind w:left="337"/>
              <w:rPr>
                <w:sz w:val="22"/>
                <w:szCs w:val="22"/>
              </w:rPr>
            </w:pPr>
            <w:r>
              <w:rPr>
                <w:sz w:val="22"/>
                <w:szCs w:val="22"/>
              </w:rPr>
              <w:t xml:space="preserve">9.2g Communicate in a professional manner </w:t>
            </w:r>
            <w:r w:rsidRPr="005E0EE4">
              <w:rPr>
                <w:sz w:val="22"/>
                <w:szCs w:val="22"/>
              </w:rPr>
              <w:t>(E)</w:t>
            </w:r>
          </w:p>
          <w:p w14:paraId="244EF053" w14:textId="77777777" w:rsidR="00FE38DD" w:rsidRDefault="00FE38DD" w:rsidP="00A659E1">
            <w:pPr>
              <w:ind w:left="337"/>
              <w:rPr>
                <w:sz w:val="22"/>
                <w:szCs w:val="22"/>
              </w:rPr>
            </w:pPr>
            <w:r>
              <w:rPr>
                <w:sz w:val="22"/>
                <w:szCs w:val="22"/>
              </w:rPr>
              <w:t>9.2h Foster opportunities for intentional presence in practice (A)</w:t>
            </w:r>
          </w:p>
          <w:p w14:paraId="03666684" w14:textId="77777777" w:rsidR="00FE38DD" w:rsidRDefault="00FE38DD" w:rsidP="00A659E1">
            <w:pPr>
              <w:ind w:left="337"/>
              <w:rPr>
                <w:sz w:val="22"/>
                <w:szCs w:val="22"/>
              </w:rPr>
            </w:pPr>
            <w:r>
              <w:rPr>
                <w:sz w:val="22"/>
                <w:szCs w:val="22"/>
              </w:rPr>
              <w:t>9.2i Identify innovative and evidence-based practices that promote person-centered care (A)</w:t>
            </w:r>
          </w:p>
          <w:p w14:paraId="0A777893" w14:textId="77777777" w:rsidR="00FE38DD" w:rsidRDefault="00FE38DD" w:rsidP="00A659E1">
            <w:pPr>
              <w:ind w:left="337"/>
              <w:rPr>
                <w:sz w:val="22"/>
                <w:szCs w:val="22"/>
              </w:rPr>
            </w:pPr>
            <w:r>
              <w:rPr>
                <w:sz w:val="22"/>
                <w:szCs w:val="22"/>
              </w:rPr>
              <w:t>9.2j Advocate for practices that advance diversity, equity, and inclusion (A)</w:t>
            </w:r>
          </w:p>
          <w:p w14:paraId="24594FBC" w14:textId="77777777" w:rsidR="00FE38DD" w:rsidRDefault="00FE38DD" w:rsidP="00A659E1">
            <w:pPr>
              <w:ind w:left="337"/>
              <w:rPr>
                <w:sz w:val="22"/>
                <w:szCs w:val="22"/>
              </w:rPr>
            </w:pPr>
            <w:r>
              <w:rPr>
                <w:sz w:val="22"/>
                <w:szCs w:val="22"/>
              </w:rPr>
              <w:t>9.2k Model professional expectations for therapeutic relationships (A)</w:t>
            </w:r>
          </w:p>
          <w:p w14:paraId="115498D8" w14:textId="77777777" w:rsidR="00FE38DD" w:rsidRPr="00CB1592" w:rsidRDefault="00FE38DD" w:rsidP="00A659E1">
            <w:pPr>
              <w:ind w:left="337"/>
              <w:rPr>
                <w:sz w:val="22"/>
                <w:szCs w:val="22"/>
              </w:rPr>
            </w:pPr>
            <w:r>
              <w:rPr>
                <w:sz w:val="22"/>
                <w:szCs w:val="22"/>
              </w:rPr>
              <w:t>9.2l Facilitate communication that promotes a participatory approach (A)</w:t>
            </w:r>
          </w:p>
        </w:tc>
      </w:tr>
      <w:tr w:rsidR="00FE38DD" w:rsidRPr="00221A1B" w14:paraId="155DAA80" w14:textId="77777777" w:rsidTr="00A659E1">
        <w:tc>
          <w:tcPr>
            <w:tcW w:w="2875" w:type="dxa"/>
            <w:tcBorders>
              <w:bottom w:val="single" w:sz="4" w:space="0" w:color="auto"/>
            </w:tcBorders>
          </w:tcPr>
          <w:p w14:paraId="2599797B" w14:textId="77777777" w:rsidR="00FE38DD" w:rsidRPr="00221A1B" w:rsidRDefault="00FE38DD" w:rsidP="00A659E1">
            <w:pPr>
              <w:rPr>
                <w:b/>
                <w:bCs/>
                <w:sz w:val="22"/>
                <w:szCs w:val="22"/>
              </w:rPr>
            </w:pPr>
            <w:r w:rsidRPr="00221A1B">
              <w:rPr>
                <w:b/>
                <w:bCs/>
                <w:sz w:val="22"/>
                <w:szCs w:val="22"/>
              </w:rPr>
              <w:t>Recommended Content</w:t>
            </w:r>
          </w:p>
        </w:tc>
        <w:tc>
          <w:tcPr>
            <w:tcW w:w="4680" w:type="dxa"/>
            <w:tcBorders>
              <w:bottom w:val="single" w:sz="4" w:space="0" w:color="auto"/>
            </w:tcBorders>
          </w:tcPr>
          <w:p w14:paraId="0BD62A0B" w14:textId="77777777" w:rsidR="00FE38DD" w:rsidRPr="00221A1B" w:rsidRDefault="00FE38DD" w:rsidP="00A659E1">
            <w:pPr>
              <w:rPr>
                <w:b/>
                <w:bCs/>
                <w:sz w:val="22"/>
                <w:szCs w:val="22"/>
              </w:rPr>
            </w:pPr>
            <w:r w:rsidRPr="00221A1B">
              <w:rPr>
                <w:b/>
                <w:bCs/>
                <w:sz w:val="22"/>
                <w:szCs w:val="22"/>
              </w:rPr>
              <w:t>Learning Strategies</w:t>
            </w:r>
          </w:p>
        </w:tc>
        <w:tc>
          <w:tcPr>
            <w:tcW w:w="2160" w:type="dxa"/>
            <w:tcBorders>
              <w:bottom w:val="single" w:sz="4" w:space="0" w:color="auto"/>
            </w:tcBorders>
          </w:tcPr>
          <w:p w14:paraId="3217B0FA" w14:textId="77777777" w:rsidR="00FE38DD" w:rsidRPr="00221A1B" w:rsidRDefault="00FE38DD" w:rsidP="00A659E1">
            <w:pPr>
              <w:rPr>
                <w:b/>
                <w:bCs/>
                <w:sz w:val="22"/>
                <w:szCs w:val="22"/>
              </w:rPr>
            </w:pPr>
            <w:r w:rsidRPr="00221A1B">
              <w:rPr>
                <w:b/>
                <w:bCs/>
                <w:sz w:val="22"/>
                <w:szCs w:val="22"/>
              </w:rPr>
              <w:t>Assessment</w:t>
            </w:r>
          </w:p>
        </w:tc>
        <w:tc>
          <w:tcPr>
            <w:tcW w:w="4680" w:type="dxa"/>
            <w:tcBorders>
              <w:bottom w:val="single" w:sz="4" w:space="0" w:color="auto"/>
            </w:tcBorders>
          </w:tcPr>
          <w:p w14:paraId="51ED3D83" w14:textId="77777777" w:rsidR="00FE38DD" w:rsidRPr="00221A1B" w:rsidRDefault="00FE38DD" w:rsidP="00A659E1">
            <w:pPr>
              <w:rPr>
                <w:b/>
                <w:bCs/>
                <w:sz w:val="22"/>
                <w:szCs w:val="22"/>
              </w:rPr>
            </w:pPr>
            <w:r w:rsidRPr="00221A1B">
              <w:rPr>
                <w:b/>
                <w:bCs/>
                <w:sz w:val="22"/>
                <w:szCs w:val="22"/>
              </w:rPr>
              <w:t>Resources</w:t>
            </w:r>
            <w:r>
              <w:rPr>
                <w:b/>
                <w:bCs/>
                <w:sz w:val="22"/>
                <w:szCs w:val="22"/>
              </w:rPr>
              <w:t xml:space="preserve"> and References</w:t>
            </w:r>
          </w:p>
        </w:tc>
      </w:tr>
      <w:tr w:rsidR="00FE38DD" w:rsidRPr="00221A1B" w14:paraId="13E482FA" w14:textId="77777777" w:rsidTr="00A659E1">
        <w:tc>
          <w:tcPr>
            <w:tcW w:w="2875" w:type="dxa"/>
          </w:tcPr>
          <w:p w14:paraId="4562B728" w14:textId="77777777" w:rsidR="00FE38DD" w:rsidRPr="003D2AE2" w:rsidRDefault="00FE38DD" w:rsidP="00A659E1">
            <w:pPr>
              <w:rPr>
                <w:sz w:val="22"/>
                <w:szCs w:val="22"/>
                <w:vertAlign w:val="superscript"/>
              </w:rPr>
            </w:pPr>
            <w:r w:rsidRPr="00995AC2">
              <w:t>Mindfulnes</w:t>
            </w:r>
            <w:r>
              <w:t xml:space="preserve">s </w:t>
            </w:r>
            <w:r>
              <w:rPr>
                <w:sz w:val="22"/>
                <w:szCs w:val="22"/>
                <w:vertAlign w:val="superscript"/>
              </w:rPr>
              <w:t>a</w:t>
            </w:r>
          </w:p>
        </w:tc>
        <w:tc>
          <w:tcPr>
            <w:tcW w:w="4680" w:type="dxa"/>
          </w:tcPr>
          <w:p w14:paraId="77195E62" w14:textId="77777777" w:rsidR="00FE38DD" w:rsidRDefault="00FE38DD" w:rsidP="00A659E1">
            <w:pPr>
              <w:rPr>
                <w:sz w:val="22"/>
                <w:szCs w:val="22"/>
              </w:rPr>
            </w:pPr>
            <w:r>
              <w:rPr>
                <w:sz w:val="22"/>
                <w:szCs w:val="22"/>
              </w:rPr>
              <w:t xml:space="preserve">-Present and then facilitate </w:t>
            </w:r>
            <w:r w:rsidRPr="006D4BE8">
              <w:rPr>
                <w:sz w:val="22"/>
                <w:szCs w:val="22"/>
              </w:rPr>
              <w:t>SBAR</w:t>
            </w:r>
            <w:r>
              <w:rPr>
                <w:sz w:val="22"/>
                <w:szCs w:val="22"/>
              </w:rPr>
              <w:t xml:space="preserve"> protocol in dyadic practice session</w:t>
            </w:r>
          </w:p>
          <w:p w14:paraId="2346C22D" w14:textId="77777777" w:rsidR="00FE38DD" w:rsidRDefault="00FE38DD" w:rsidP="00A659E1">
            <w:pPr>
              <w:rPr>
                <w:sz w:val="22"/>
                <w:szCs w:val="22"/>
              </w:rPr>
            </w:pPr>
          </w:p>
          <w:p w14:paraId="6C93F377" w14:textId="77777777" w:rsidR="00FE38DD" w:rsidRPr="006D4BE8" w:rsidRDefault="00FE38DD" w:rsidP="00A659E1">
            <w:pPr>
              <w:rPr>
                <w:sz w:val="22"/>
                <w:szCs w:val="22"/>
              </w:rPr>
            </w:pPr>
            <w:r>
              <w:rPr>
                <w:sz w:val="22"/>
                <w:szCs w:val="22"/>
              </w:rPr>
              <w:t>-Present and work in teams/trios on teach back technique for a specific home procedure</w:t>
            </w:r>
          </w:p>
          <w:p w14:paraId="02F00223" w14:textId="77777777" w:rsidR="00FE38DD" w:rsidRDefault="00FE38DD" w:rsidP="00A659E1">
            <w:pPr>
              <w:pStyle w:val="ListParagraph"/>
              <w:ind w:left="360"/>
              <w:rPr>
                <w:rFonts w:ascii="Times New Roman" w:hAnsi="Times New Roman" w:cs="Times New Roman"/>
                <w:sz w:val="22"/>
                <w:szCs w:val="22"/>
              </w:rPr>
            </w:pPr>
          </w:p>
          <w:p w14:paraId="4C8EAD64" w14:textId="77777777" w:rsidR="00FE38DD" w:rsidRDefault="00FE38DD" w:rsidP="00A659E1">
            <w:pPr>
              <w:rPr>
                <w:sz w:val="22"/>
                <w:szCs w:val="22"/>
              </w:rPr>
            </w:pPr>
            <w:r>
              <w:rPr>
                <w:sz w:val="22"/>
                <w:szCs w:val="22"/>
              </w:rPr>
              <w:t xml:space="preserve">-Reading on initiating communication about </w:t>
            </w:r>
            <w:r w:rsidRPr="006D4BE8">
              <w:rPr>
                <w:sz w:val="22"/>
                <w:szCs w:val="22"/>
              </w:rPr>
              <w:t>Advance Directive</w:t>
            </w:r>
            <w:r>
              <w:rPr>
                <w:sz w:val="22"/>
                <w:szCs w:val="22"/>
              </w:rPr>
              <w:t xml:space="preserve"> with patient/with family caregiver, followed by  discussion</w:t>
            </w:r>
          </w:p>
          <w:p w14:paraId="189EA369" w14:textId="77777777" w:rsidR="00FE38DD" w:rsidRPr="006D4BE8" w:rsidRDefault="00FE38DD" w:rsidP="00A659E1">
            <w:pPr>
              <w:rPr>
                <w:sz w:val="22"/>
                <w:szCs w:val="22"/>
              </w:rPr>
            </w:pPr>
          </w:p>
          <w:p w14:paraId="18EFA19A" w14:textId="77777777" w:rsidR="00FE38DD" w:rsidRPr="006D4BE8" w:rsidRDefault="00FE38DD" w:rsidP="00A659E1">
            <w:pPr>
              <w:rPr>
                <w:sz w:val="22"/>
                <w:szCs w:val="22"/>
              </w:rPr>
            </w:pPr>
            <w:r>
              <w:rPr>
                <w:sz w:val="22"/>
                <w:szCs w:val="22"/>
              </w:rPr>
              <w:t>-Learn strategies to ask about and i</w:t>
            </w:r>
            <w:r w:rsidRPr="006D4BE8">
              <w:rPr>
                <w:sz w:val="22"/>
                <w:szCs w:val="22"/>
              </w:rPr>
              <w:t>dentify Language Preferences</w:t>
            </w:r>
            <w:r>
              <w:rPr>
                <w:sz w:val="22"/>
                <w:szCs w:val="22"/>
              </w:rPr>
              <w:t xml:space="preserve"> for patients and their family </w:t>
            </w:r>
            <w:r>
              <w:rPr>
                <w:sz w:val="22"/>
                <w:szCs w:val="22"/>
              </w:rPr>
              <w:lastRenderedPageBreak/>
              <w:t>caregivers; share student-driven discussion of CLAS standards and plain language resources</w:t>
            </w:r>
          </w:p>
          <w:p w14:paraId="3C175C19" w14:textId="77777777" w:rsidR="00FE38DD" w:rsidRDefault="00FE38DD" w:rsidP="00A659E1">
            <w:pPr>
              <w:pStyle w:val="ListParagraph"/>
              <w:ind w:left="360"/>
              <w:rPr>
                <w:rFonts w:ascii="Times New Roman" w:hAnsi="Times New Roman" w:cs="Times New Roman"/>
                <w:sz w:val="22"/>
                <w:szCs w:val="22"/>
              </w:rPr>
            </w:pPr>
          </w:p>
          <w:p w14:paraId="67350C0A" w14:textId="77777777" w:rsidR="00FE38DD" w:rsidRPr="006D4BE8" w:rsidRDefault="00FE38DD" w:rsidP="00A659E1">
            <w:pPr>
              <w:rPr>
                <w:sz w:val="22"/>
                <w:szCs w:val="22"/>
              </w:rPr>
            </w:pPr>
            <w:r>
              <w:rPr>
                <w:sz w:val="22"/>
                <w:szCs w:val="22"/>
              </w:rPr>
              <w:t>-Examine best practices to i</w:t>
            </w:r>
            <w:r w:rsidRPr="006D4BE8">
              <w:rPr>
                <w:sz w:val="22"/>
                <w:szCs w:val="22"/>
              </w:rPr>
              <w:t xml:space="preserve">dentify </w:t>
            </w:r>
            <w:r>
              <w:rPr>
                <w:sz w:val="22"/>
                <w:szCs w:val="22"/>
              </w:rPr>
              <w:t>r</w:t>
            </w:r>
            <w:r w:rsidRPr="006D4BE8">
              <w:rPr>
                <w:sz w:val="22"/>
                <w:szCs w:val="22"/>
              </w:rPr>
              <w:t>eligious preferences</w:t>
            </w:r>
            <w:r>
              <w:rPr>
                <w:sz w:val="22"/>
                <w:szCs w:val="22"/>
              </w:rPr>
              <w:t xml:space="preserve"> for patients and their family members; share a range of video shorts that include varied cultural practices</w:t>
            </w:r>
          </w:p>
          <w:p w14:paraId="791BB71E" w14:textId="77777777" w:rsidR="00FE38DD" w:rsidRDefault="00FE38DD" w:rsidP="00A659E1">
            <w:pPr>
              <w:pStyle w:val="ListParagraph"/>
              <w:ind w:left="360"/>
              <w:rPr>
                <w:rFonts w:ascii="Times New Roman" w:hAnsi="Times New Roman" w:cs="Times New Roman"/>
                <w:sz w:val="22"/>
                <w:szCs w:val="22"/>
              </w:rPr>
            </w:pPr>
          </w:p>
          <w:p w14:paraId="374CF1C9" w14:textId="77777777" w:rsidR="00FE38DD" w:rsidRDefault="00FE38DD" w:rsidP="00A659E1">
            <w:pPr>
              <w:rPr>
                <w:sz w:val="22"/>
                <w:szCs w:val="22"/>
              </w:rPr>
            </w:pPr>
            <w:r>
              <w:rPr>
                <w:sz w:val="22"/>
                <w:szCs w:val="22"/>
              </w:rPr>
              <w:t xml:space="preserve">-Present helpful prompts and responses for communicating with </w:t>
            </w:r>
            <w:r w:rsidRPr="006D4BE8">
              <w:rPr>
                <w:sz w:val="22"/>
                <w:szCs w:val="22"/>
              </w:rPr>
              <w:t>patients</w:t>
            </w:r>
            <w:r>
              <w:rPr>
                <w:sz w:val="22"/>
                <w:szCs w:val="22"/>
              </w:rPr>
              <w:t xml:space="preserve"> near the end of life</w:t>
            </w:r>
          </w:p>
          <w:p w14:paraId="1DE4777A" w14:textId="77777777" w:rsidR="00FE38DD" w:rsidRDefault="00FE38DD" w:rsidP="00A659E1">
            <w:pPr>
              <w:rPr>
                <w:sz w:val="22"/>
                <w:szCs w:val="22"/>
              </w:rPr>
            </w:pPr>
          </w:p>
          <w:p w14:paraId="60C8336C" w14:textId="47154670" w:rsidR="00FE38DD" w:rsidRDefault="00FE38DD" w:rsidP="00A659E1">
            <w:pPr>
              <w:rPr>
                <w:sz w:val="22"/>
                <w:szCs w:val="22"/>
              </w:rPr>
            </w:pPr>
            <w:r>
              <w:rPr>
                <w:sz w:val="22"/>
                <w:szCs w:val="22"/>
              </w:rPr>
              <w:t xml:space="preserve">-Examine Family and Nurse Tension indicators (Gistrap </w:t>
            </w:r>
            <w:r w:rsidR="00807A88">
              <w:rPr>
                <w:sz w:val="22"/>
                <w:szCs w:val="22"/>
              </w:rPr>
              <w:t>&amp;</w:t>
            </w:r>
            <w:r>
              <w:rPr>
                <w:sz w:val="22"/>
                <w:szCs w:val="22"/>
              </w:rPr>
              <w:t xml:space="preserve"> White, 2015</w:t>
            </w:r>
            <w:r w:rsidR="00807A88">
              <w:rPr>
                <w:sz w:val="22"/>
                <w:szCs w:val="22"/>
              </w:rPr>
              <w:t>)</w:t>
            </w:r>
          </w:p>
          <w:p w14:paraId="7B69A799" w14:textId="77777777" w:rsidR="00FE38DD" w:rsidRDefault="00FE38DD" w:rsidP="00A659E1">
            <w:pPr>
              <w:rPr>
                <w:sz w:val="22"/>
                <w:szCs w:val="22"/>
              </w:rPr>
            </w:pPr>
          </w:p>
          <w:p w14:paraId="23FBB992" w14:textId="77777777" w:rsidR="00987F18" w:rsidRDefault="00FE38DD" w:rsidP="00987F18">
            <w:pPr>
              <w:rPr>
                <w:sz w:val="22"/>
                <w:szCs w:val="22"/>
              </w:rPr>
            </w:pPr>
            <w:r>
              <w:rPr>
                <w:sz w:val="22"/>
                <w:szCs w:val="22"/>
              </w:rPr>
              <w:t>-Implement Assessing Tensions in Patient and Family Communication tool kit (</w:t>
            </w:r>
            <w:r w:rsidR="00807A88">
              <w:rPr>
                <w:sz w:val="22"/>
                <w:szCs w:val="22"/>
              </w:rPr>
              <w:t xml:space="preserve">Wittenberg et al., 2020, </w:t>
            </w:r>
            <w:r>
              <w:rPr>
                <w:sz w:val="22"/>
                <w:szCs w:val="22"/>
              </w:rPr>
              <w:t>p. 198) in discussion and role play/clinical practice report back.</w:t>
            </w:r>
          </w:p>
          <w:p w14:paraId="3B3FF7D4" w14:textId="77777777" w:rsidR="00987F18" w:rsidRDefault="00987F18" w:rsidP="00987F18">
            <w:pPr>
              <w:rPr>
                <w:sz w:val="22"/>
                <w:szCs w:val="22"/>
              </w:rPr>
            </w:pPr>
          </w:p>
          <w:p w14:paraId="4A9F9476" w14:textId="3F8F430E" w:rsidR="00987F18" w:rsidRPr="00987F18" w:rsidRDefault="00987F18" w:rsidP="00987F18">
            <w:pPr>
              <w:rPr>
                <w:sz w:val="22"/>
                <w:szCs w:val="22"/>
              </w:rPr>
            </w:pPr>
            <w:r w:rsidRPr="00642C21">
              <w:rPr>
                <w:sz w:val="22"/>
                <w:szCs w:val="22"/>
              </w:rPr>
              <w:t xml:space="preserve">-Use debriefing activities to provide individual and collective discussions on </w:t>
            </w:r>
            <w:r w:rsidR="00642C21" w:rsidRPr="00642C21">
              <w:rPr>
                <w:sz w:val="22"/>
                <w:szCs w:val="22"/>
              </w:rPr>
              <w:t>high-risk</w:t>
            </w:r>
            <w:r w:rsidRPr="00642C21">
              <w:rPr>
                <w:sz w:val="22"/>
                <w:szCs w:val="22"/>
              </w:rPr>
              <w:t xml:space="preserve"> public and/or community incidences.</w:t>
            </w:r>
            <w:r>
              <w:rPr>
                <w:sz w:val="22"/>
                <w:szCs w:val="22"/>
              </w:rPr>
              <w:t xml:space="preserve"> </w:t>
            </w:r>
          </w:p>
        </w:tc>
        <w:tc>
          <w:tcPr>
            <w:tcW w:w="2160" w:type="dxa"/>
          </w:tcPr>
          <w:p w14:paraId="670F43A3" w14:textId="77777777" w:rsidR="00FE38DD" w:rsidRPr="000776BD" w:rsidRDefault="00FE38DD" w:rsidP="00A659E1">
            <w:pPr>
              <w:rPr>
                <w:sz w:val="22"/>
                <w:szCs w:val="22"/>
              </w:rPr>
            </w:pPr>
            <w:r>
              <w:rPr>
                <w:sz w:val="22"/>
                <w:szCs w:val="22"/>
              </w:rPr>
              <w:lastRenderedPageBreak/>
              <w:t>Nursing Professional Values Scale -3 (Weis &amp; Schank, 2017)</w:t>
            </w:r>
          </w:p>
        </w:tc>
        <w:tc>
          <w:tcPr>
            <w:tcW w:w="4680" w:type="dxa"/>
          </w:tcPr>
          <w:p w14:paraId="4FA2BD13" w14:textId="77777777" w:rsidR="00FE38DD" w:rsidRPr="007568C6" w:rsidRDefault="00FE38DD" w:rsidP="00A659E1">
            <w:pPr>
              <w:autoSpaceDE w:val="0"/>
              <w:autoSpaceDN w:val="0"/>
              <w:adjustRightInd w:val="0"/>
              <w:rPr>
                <w:sz w:val="22"/>
                <w:szCs w:val="22"/>
              </w:rPr>
            </w:pPr>
            <w:r w:rsidRPr="007568C6">
              <w:rPr>
                <w:sz w:val="22"/>
                <w:szCs w:val="22"/>
              </w:rPr>
              <w:t xml:space="preserve">Sowko, L. A., Fennimore, L. A., &amp; Drahnak, D. M. (2019, Sep 1). Teaching Workplace Interprofessional Communication to Undergraduate Nursing Students. </w:t>
            </w:r>
            <w:r w:rsidRPr="007568C6">
              <w:rPr>
                <w:i/>
                <w:iCs/>
                <w:sz w:val="22"/>
                <w:szCs w:val="22"/>
              </w:rPr>
              <w:t>J Nurs Educ, 58</w:t>
            </w:r>
            <w:r w:rsidRPr="007568C6">
              <w:rPr>
                <w:sz w:val="22"/>
                <w:szCs w:val="22"/>
              </w:rPr>
              <w:t xml:space="preserve">(9), 538-542. https://doi.org/10.3928/01484834-20190819-08 </w:t>
            </w:r>
          </w:p>
          <w:p w14:paraId="313C5B38" w14:textId="77777777" w:rsidR="00FE38DD" w:rsidRDefault="00FE38DD" w:rsidP="00A659E1">
            <w:pPr>
              <w:rPr>
                <w:sz w:val="22"/>
                <w:szCs w:val="22"/>
              </w:rPr>
            </w:pPr>
          </w:p>
          <w:p w14:paraId="73843A99" w14:textId="77777777" w:rsidR="00FE38DD" w:rsidRDefault="00FE38DD" w:rsidP="00A659E1">
            <w:pPr>
              <w:autoSpaceDE w:val="0"/>
              <w:autoSpaceDN w:val="0"/>
              <w:adjustRightInd w:val="0"/>
              <w:ind w:left="-12" w:firstLine="12"/>
              <w:rPr>
                <w:rFonts w:eastAsiaTheme="minorHAnsi"/>
                <w:sz w:val="22"/>
                <w:szCs w:val="22"/>
              </w:rPr>
            </w:pPr>
            <w:r w:rsidRPr="000776BD">
              <w:rPr>
                <w:rFonts w:eastAsiaTheme="minorHAnsi"/>
                <w:sz w:val="22"/>
                <w:szCs w:val="22"/>
              </w:rPr>
              <w:t xml:space="preserve">Weis, D., &amp; Schank, M. J. (2017, Dec 1). Development and Psychometric Evaluation of the Nurses Professional Values Scale-3. </w:t>
            </w:r>
            <w:r w:rsidRPr="000776BD">
              <w:rPr>
                <w:rFonts w:eastAsiaTheme="minorHAnsi"/>
                <w:i/>
                <w:iCs/>
                <w:sz w:val="22"/>
                <w:szCs w:val="22"/>
              </w:rPr>
              <w:t>J Nurs Meas, 25</w:t>
            </w:r>
            <w:r w:rsidRPr="000776BD">
              <w:rPr>
                <w:rFonts w:eastAsiaTheme="minorHAnsi"/>
                <w:sz w:val="22"/>
                <w:szCs w:val="22"/>
              </w:rPr>
              <w:t xml:space="preserve">(3), 400-410. https://doi.org/10.1891/1061-3749.25.3.400 </w:t>
            </w:r>
          </w:p>
          <w:p w14:paraId="32C8F5D2" w14:textId="77777777" w:rsidR="00FE38DD" w:rsidRDefault="00FE38DD" w:rsidP="00A659E1">
            <w:pPr>
              <w:autoSpaceDE w:val="0"/>
              <w:autoSpaceDN w:val="0"/>
              <w:adjustRightInd w:val="0"/>
              <w:ind w:left="-12" w:firstLine="12"/>
              <w:rPr>
                <w:rFonts w:eastAsiaTheme="minorHAnsi"/>
                <w:sz w:val="22"/>
                <w:szCs w:val="22"/>
              </w:rPr>
            </w:pPr>
          </w:p>
          <w:p w14:paraId="78DD2E93" w14:textId="07042192" w:rsidR="00FE38DD" w:rsidRDefault="00FE38DD" w:rsidP="00A659E1">
            <w:pPr>
              <w:autoSpaceDE w:val="0"/>
              <w:autoSpaceDN w:val="0"/>
              <w:adjustRightInd w:val="0"/>
              <w:ind w:right="-12"/>
              <w:rPr>
                <w:rFonts w:eastAsiaTheme="minorHAnsi"/>
                <w:sz w:val="22"/>
                <w:szCs w:val="22"/>
              </w:rPr>
            </w:pPr>
            <w:r w:rsidRPr="00E755C9">
              <w:rPr>
                <w:rFonts w:eastAsiaTheme="minorHAnsi"/>
                <w:sz w:val="22"/>
                <w:szCs w:val="22"/>
              </w:rPr>
              <w:lastRenderedPageBreak/>
              <w:t xml:space="preserve">Latham, C. L., Ringl, K., &amp; Hogan, M. (2020, Apr 1). Transforming Students' Educational Experience Through Cultural Mindedness, Peer Mentoring, and Student Input. </w:t>
            </w:r>
            <w:r w:rsidRPr="00E755C9">
              <w:rPr>
                <w:rFonts w:eastAsiaTheme="minorHAnsi"/>
                <w:i/>
                <w:iCs/>
                <w:sz w:val="22"/>
                <w:szCs w:val="22"/>
              </w:rPr>
              <w:t>J Nurs Educ, 59</w:t>
            </w:r>
            <w:r w:rsidRPr="00E755C9">
              <w:rPr>
                <w:rFonts w:eastAsiaTheme="minorHAnsi"/>
                <w:sz w:val="22"/>
                <w:szCs w:val="22"/>
              </w:rPr>
              <w:t xml:space="preserve">(4), 194-202. </w:t>
            </w:r>
            <w:hyperlink r:id="rId19" w:history="1">
              <w:r w:rsidR="00133889" w:rsidRPr="003605D2">
                <w:rPr>
                  <w:rStyle w:val="Hyperlink"/>
                  <w:rFonts w:eastAsiaTheme="minorHAnsi"/>
                  <w:sz w:val="22"/>
                  <w:szCs w:val="22"/>
                </w:rPr>
                <w:t>https://doi.org/10.3928/01484834-20200323-04</w:t>
              </w:r>
            </w:hyperlink>
          </w:p>
          <w:p w14:paraId="4BAED516" w14:textId="77777777" w:rsidR="00133889" w:rsidRDefault="00133889" w:rsidP="00A659E1">
            <w:pPr>
              <w:autoSpaceDE w:val="0"/>
              <w:autoSpaceDN w:val="0"/>
              <w:adjustRightInd w:val="0"/>
              <w:ind w:right="-12"/>
              <w:rPr>
                <w:rFonts w:eastAsiaTheme="minorHAnsi"/>
                <w:sz w:val="22"/>
                <w:szCs w:val="22"/>
              </w:rPr>
            </w:pPr>
          </w:p>
          <w:p w14:paraId="21BD8D25" w14:textId="58D80D73" w:rsidR="00133889" w:rsidRPr="00642C21" w:rsidRDefault="00133889" w:rsidP="00A659E1">
            <w:pPr>
              <w:autoSpaceDE w:val="0"/>
              <w:autoSpaceDN w:val="0"/>
              <w:adjustRightInd w:val="0"/>
              <w:ind w:right="-12"/>
              <w:rPr>
                <w:rFonts w:eastAsiaTheme="minorHAnsi"/>
                <w:sz w:val="22"/>
                <w:szCs w:val="22"/>
              </w:rPr>
            </w:pPr>
            <w:r w:rsidRPr="00642C21">
              <w:rPr>
                <w:rFonts w:eastAsiaTheme="minorHAnsi"/>
                <w:sz w:val="22"/>
                <w:szCs w:val="22"/>
              </w:rPr>
              <w:t xml:space="preserve">Marcelin, J. R., Siraj, D. S., Victor, R., Kotadia, S., &amp; Maldonado, Y. A. (2019). The impact of unconscious bias in healthcare: how to recognize and mitigate it. The Journal of Infectious Diseases, 220(220), 73. </w:t>
            </w:r>
            <w:hyperlink r:id="rId20" w:history="1">
              <w:r w:rsidRPr="00642C21">
                <w:rPr>
                  <w:rStyle w:val="Hyperlink"/>
                  <w:rFonts w:eastAsiaTheme="minorHAnsi"/>
                  <w:sz w:val="22"/>
                  <w:szCs w:val="22"/>
                </w:rPr>
                <w:t>https://doi.org/10.1093/infdis/jiz214</w:t>
              </w:r>
            </w:hyperlink>
          </w:p>
          <w:p w14:paraId="6E1C9C77" w14:textId="77777777" w:rsidR="00133889" w:rsidRPr="00642C21" w:rsidRDefault="00133889" w:rsidP="00A659E1">
            <w:pPr>
              <w:autoSpaceDE w:val="0"/>
              <w:autoSpaceDN w:val="0"/>
              <w:adjustRightInd w:val="0"/>
              <w:ind w:right="-12"/>
              <w:rPr>
                <w:rFonts w:eastAsiaTheme="minorHAnsi"/>
                <w:sz w:val="22"/>
                <w:szCs w:val="22"/>
              </w:rPr>
            </w:pPr>
          </w:p>
          <w:p w14:paraId="45EAAC32" w14:textId="33766556" w:rsidR="00133889" w:rsidRPr="00642C21" w:rsidRDefault="0004702A" w:rsidP="00A659E1">
            <w:pPr>
              <w:autoSpaceDE w:val="0"/>
              <w:autoSpaceDN w:val="0"/>
              <w:adjustRightInd w:val="0"/>
              <w:ind w:right="-12"/>
              <w:rPr>
                <w:rFonts w:eastAsiaTheme="minorHAnsi"/>
                <w:sz w:val="22"/>
                <w:szCs w:val="22"/>
              </w:rPr>
            </w:pPr>
            <w:r w:rsidRPr="00642C21">
              <w:rPr>
                <w:rFonts w:eastAsiaTheme="minorHAnsi"/>
                <w:sz w:val="22"/>
                <w:szCs w:val="22"/>
              </w:rPr>
              <w:t xml:space="preserve">Menon, U., Ashing, K., Chang, M. W., Christy, S. M., Friberg-Felsted, K., Rivas, V. G., Gwede, C. K., Lu, Q., Meade, C. D., Sly, J., Wang, M., Yanez, B., Yeary, K., Yi, J. C., </w:t>
            </w:r>
            <w:r w:rsidR="00642C21" w:rsidRPr="00642C21">
              <w:rPr>
                <w:rFonts w:eastAsiaTheme="minorHAnsi"/>
                <w:sz w:val="22"/>
                <w:szCs w:val="22"/>
              </w:rPr>
              <w:t>&amp;</w:t>
            </w:r>
            <w:r w:rsidRPr="00642C21">
              <w:rPr>
                <w:rFonts w:eastAsiaTheme="minorHAnsi"/>
                <w:sz w:val="22"/>
                <w:szCs w:val="22"/>
              </w:rPr>
              <w:t xml:space="preserve"> Alcaraz, K. I. (2019). Application of the connect framework to precision health and health disparities. Nursing Research, 68(2), 99–109. </w:t>
            </w:r>
            <w:hyperlink r:id="rId21" w:history="1">
              <w:r w:rsidR="00987F18" w:rsidRPr="00642C21">
                <w:rPr>
                  <w:rStyle w:val="Hyperlink"/>
                  <w:rFonts w:eastAsiaTheme="minorHAnsi"/>
                  <w:sz w:val="22"/>
                  <w:szCs w:val="22"/>
                </w:rPr>
                <w:t>https://doi.org/10.1097/NNR.0000000000000329</w:t>
              </w:r>
            </w:hyperlink>
          </w:p>
          <w:p w14:paraId="646BC3A2" w14:textId="77777777" w:rsidR="00987F18" w:rsidRPr="00642C21" w:rsidRDefault="00987F18" w:rsidP="00A659E1">
            <w:pPr>
              <w:autoSpaceDE w:val="0"/>
              <w:autoSpaceDN w:val="0"/>
              <w:adjustRightInd w:val="0"/>
              <w:ind w:right="-12"/>
              <w:rPr>
                <w:rFonts w:eastAsiaTheme="minorHAnsi"/>
              </w:rPr>
            </w:pPr>
          </w:p>
          <w:p w14:paraId="628B450A" w14:textId="09442675" w:rsidR="00987F18" w:rsidRPr="00642C21" w:rsidRDefault="00987F18" w:rsidP="00A659E1">
            <w:pPr>
              <w:autoSpaceDE w:val="0"/>
              <w:autoSpaceDN w:val="0"/>
              <w:adjustRightInd w:val="0"/>
              <w:ind w:right="-12"/>
              <w:rPr>
                <w:rFonts w:eastAsiaTheme="minorHAnsi"/>
                <w:sz w:val="22"/>
                <w:szCs w:val="22"/>
              </w:rPr>
            </w:pPr>
            <w:r w:rsidRPr="00642C21">
              <w:rPr>
                <w:color w:val="303030"/>
                <w:sz w:val="22"/>
                <w:szCs w:val="22"/>
                <w:shd w:val="clear" w:color="auto" w:fill="FFFFFF"/>
              </w:rPr>
              <w:t>Cantu, L., &amp; Thomas, L. (2020). Baseline well-being, perceptions of critical incidents, and openness to debriefing in community hospital emergency department clinical staff before COVID-19, a cross-sectional study. </w:t>
            </w:r>
            <w:r w:rsidRPr="00642C21">
              <w:rPr>
                <w:i/>
                <w:iCs/>
                <w:color w:val="303030"/>
                <w:sz w:val="22"/>
                <w:szCs w:val="22"/>
                <w:shd w:val="clear" w:color="auto" w:fill="FFFFFF"/>
              </w:rPr>
              <w:t>BMC emergency medicine</w:t>
            </w:r>
            <w:r w:rsidRPr="00642C21">
              <w:rPr>
                <w:color w:val="303030"/>
                <w:sz w:val="22"/>
                <w:szCs w:val="22"/>
                <w:shd w:val="clear" w:color="auto" w:fill="FFFFFF"/>
              </w:rPr>
              <w:t>, </w:t>
            </w:r>
            <w:r w:rsidRPr="00642C21">
              <w:rPr>
                <w:i/>
                <w:iCs/>
                <w:color w:val="303030"/>
                <w:sz w:val="22"/>
                <w:szCs w:val="22"/>
                <w:shd w:val="clear" w:color="auto" w:fill="FFFFFF"/>
              </w:rPr>
              <w:t>20</w:t>
            </w:r>
            <w:r w:rsidRPr="00642C21">
              <w:rPr>
                <w:color w:val="303030"/>
                <w:sz w:val="22"/>
                <w:szCs w:val="22"/>
                <w:shd w:val="clear" w:color="auto" w:fill="FFFFFF"/>
              </w:rPr>
              <w:t>(1), 82. https://doi.org/10.1186/s12873-020-00372-5</w:t>
            </w:r>
          </w:p>
        </w:tc>
      </w:tr>
    </w:tbl>
    <w:p w14:paraId="40816B57" w14:textId="77777777" w:rsidR="00FE38DD" w:rsidRPr="00CE5BCF" w:rsidRDefault="00FE38DD" w:rsidP="00A659E1">
      <w:pPr>
        <w:rPr>
          <w:sz w:val="22"/>
          <w:szCs w:val="22"/>
        </w:rPr>
      </w:pPr>
      <w:r w:rsidRPr="00CE5BCF">
        <w:rPr>
          <w:sz w:val="22"/>
          <w:szCs w:val="22"/>
        </w:rPr>
        <w:lastRenderedPageBreak/>
        <w:t>*E=entry-level; A=advanced-level</w:t>
      </w:r>
    </w:p>
    <w:p w14:paraId="6A0216FA" w14:textId="692839BF" w:rsidR="00FE38DD" w:rsidRDefault="00FE38DD" w:rsidP="00FE38DD">
      <w:pPr>
        <w:rPr>
          <w:sz w:val="22"/>
          <w:szCs w:val="22"/>
        </w:rPr>
      </w:pPr>
      <w:r>
        <w:rPr>
          <w:sz w:val="22"/>
          <w:szCs w:val="22"/>
          <w:vertAlign w:val="superscript"/>
        </w:rPr>
        <w:t xml:space="preserve">a </w:t>
      </w:r>
      <w:r>
        <w:rPr>
          <w:sz w:val="22"/>
          <w:szCs w:val="22"/>
        </w:rPr>
        <w:t xml:space="preserve">Communication Attitude, </w:t>
      </w:r>
      <w:r>
        <w:rPr>
          <w:sz w:val="22"/>
          <w:szCs w:val="22"/>
          <w:vertAlign w:val="superscript"/>
        </w:rPr>
        <w:t xml:space="preserve">k </w:t>
      </w:r>
      <w:r>
        <w:rPr>
          <w:sz w:val="22"/>
          <w:szCs w:val="22"/>
        </w:rPr>
        <w:t xml:space="preserve">Communication Knowledge, </w:t>
      </w:r>
      <w:r>
        <w:rPr>
          <w:sz w:val="22"/>
          <w:szCs w:val="22"/>
          <w:vertAlign w:val="superscript"/>
        </w:rPr>
        <w:t xml:space="preserve">s </w:t>
      </w:r>
      <w:r>
        <w:rPr>
          <w:sz w:val="22"/>
          <w:szCs w:val="22"/>
        </w:rPr>
        <w:t>Communication Skill</w:t>
      </w:r>
    </w:p>
    <w:p w14:paraId="473C53B1" w14:textId="70637814" w:rsidR="00337990" w:rsidRDefault="00337990" w:rsidP="00337990">
      <w:pPr>
        <w:rPr>
          <w:sz w:val="22"/>
          <w:szCs w:val="22"/>
        </w:rPr>
      </w:pPr>
    </w:p>
    <w:p w14:paraId="01521832" w14:textId="77777777" w:rsidR="00337990" w:rsidRPr="00AE7D0C" w:rsidRDefault="00337990" w:rsidP="00337990">
      <w:pPr>
        <w:rPr>
          <w:b/>
          <w:bCs/>
        </w:rPr>
      </w:pPr>
      <w:r w:rsidRPr="00AE7D0C">
        <w:rPr>
          <w:b/>
          <w:bCs/>
        </w:rPr>
        <w:t>Authors:</w:t>
      </w:r>
    </w:p>
    <w:p w14:paraId="4576E66B" w14:textId="77777777" w:rsidR="00337990" w:rsidRPr="00AE7D0C" w:rsidRDefault="00337990" w:rsidP="00337990">
      <w:r w:rsidRPr="00AE7D0C">
        <w:t>Joy Goldsmith, PhD, University of Memphis</w:t>
      </w:r>
    </w:p>
    <w:p w14:paraId="7D726FCF" w14:textId="77777777" w:rsidR="00337990" w:rsidRPr="00AE7D0C" w:rsidRDefault="00337990" w:rsidP="00337990">
      <w:r w:rsidRPr="00AE7D0C">
        <w:t>Smita Banerjee, PhD, Memorial Sloam Kettering Cancer Center</w:t>
      </w:r>
    </w:p>
    <w:p w14:paraId="2A3854CE" w14:textId="77777777" w:rsidR="00337990" w:rsidRPr="00AE7D0C" w:rsidRDefault="00337990" w:rsidP="00337990">
      <w:r w:rsidRPr="00AE7D0C">
        <w:t>Laureen Donovan, PhD, RN, CCRN, Shepherd University</w:t>
      </w:r>
    </w:p>
    <w:p w14:paraId="4E1A3F5F" w14:textId="77777777" w:rsidR="00337990" w:rsidRPr="00AE7D0C" w:rsidRDefault="00337990" w:rsidP="00337990">
      <w:r w:rsidRPr="00AE7D0C">
        <w:t>Elaine Wittenberg, PhD, California State University - Los Angeles</w:t>
      </w:r>
    </w:p>
    <w:p w14:paraId="33027BBF" w14:textId="77777777" w:rsidR="00337990" w:rsidRPr="00FE38DD" w:rsidRDefault="00337990" w:rsidP="00FE38DD">
      <w:pPr>
        <w:rPr>
          <w:sz w:val="22"/>
          <w:szCs w:val="22"/>
        </w:rPr>
      </w:pPr>
    </w:p>
    <w:p w14:paraId="6D3857E0" w14:textId="77777777" w:rsidR="00FE38DD" w:rsidRPr="008B5A53" w:rsidRDefault="00FE38DD" w:rsidP="00A659E1">
      <w:pPr>
        <w:rPr>
          <w:strike/>
        </w:rPr>
      </w:pPr>
    </w:p>
    <w:p w14:paraId="25900B29" w14:textId="77777777" w:rsidR="00A659E1" w:rsidRDefault="00A659E1"/>
    <w:sectPr w:rsidR="00A659E1" w:rsidSect="00A659E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C"/>
    <w:multiLevelType w:val="hybridMultilevel"/>
    <w:tmpl w:val="E132EA0A"/>
    <w:lvl w:ilvl="0" w:tplc="74D69F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0012B"/>
    <w:multiLevelType w:val="hybridMultilevel"/>
    <w:tmpl w:val="8B9E905C"/>
    <w:lvl w:ilvl="0" w:tplc="680CFA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34F8"/>
    <w:multiLevelType w:val="hybridMultilevel"/>
    <w:tmpl w:val="246CB98C"/>
    <w:lvl w:ilvl="0" w:tplc="7042EC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7120C"/>
    <w:multiLevelType w:val="hybridMultilevel"/>
    <w:tmpl w:val="6136EB3C"/>
    <w:lvl w:ilvl="0" w:tplc="C076E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2F23"/>
    <w:multiLevelType w:val="hybridMultilevel"/>
    <w:tmpl w:val="F9BA1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60C84"/>
    <w:multiLevelType w:val="hybridMultilevel"/>
    <w:tmpl w:val="EF4A7346"/>
    <w:lvl w:ilvl="0" w:tplc="E26AB8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82571"/>
    <w:multiLevelType w:val="hybridMultilevel"/>
    <w:tmpl w:val="4BE05772"/>
    <w:lvl w:ilvl="0" w:tplc="DB7256B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5A4656"/>
    <w:multiLevelType w:val="hybridMultilevel"/>
    <w:tmpl w:val="AB509C00"/>
    <w:lvl w:ilvl="0" w:tplc="4CACD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35778"/>
    <w:multiLevelType w:val="hybridMultilevel"/>
    <w:tmpl w:val="5F5817CE"/>
    <w:lvl w:ilvl="0" w:tplc="E86C3C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C2DAA"/>
    <w:multiLevelType w:val="hybridMultilevel"/>
    <w:tmpl w:val="DDE2DC7C"/>
    <w:lvl w:ilvl="0" w:tplc="07FE1C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F33C1"/>
    <w:multiLevelType w:val="hybridMultilevel"/>
    <w:tmpl w:val="872E8D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FA1188"/>
    <w:multiLevelType w:val="hybridMultilevel"/>
    <w:tmpl w:val="80A6D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C36551"/>
    <w:multiLevelType w:val="hybridMultilevel"/>
    <w:tmpl w:val="9D60EF12"/>
    <w:lvl w:ilvl="0" w:tplc="25360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81AD2"/>
    <w:multiLevelType w:val="hybridMultilevel"/>
    <w:tmpl w:val="882A33E2"/>
    <w:lvl w:ilvl="0" w:tplc="4E5ED6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67208"/>
    <w:multiLevelType w:val="hybridMultilevel"/>
    <w:tmpl w:val="5F88376E"/>
    <w:lvl w:ilvl="0" w:tplc="EB3855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009C6"/>
    <w:multiLevelType w:val="hybridMultilevel"/>
    <w:tmpl w:val="3DF08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063F2F"/>
    <w:multiLevelType w:val="hybridMultilevel"/>
    <w:tmpl w:val="83C23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2D0B43"/>
    <w:multiLevelType w:val="hybridMultilevel"/>
    <w:tmpl w:val="5F387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45C5C"/>
    <w:multiLevelType w:val="hybridMultilevel"/>
    <w:tmpl w:val="8832539C"/>
    <w:lvl w:ilvl="0" w:tplc="9E68A5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22576"/>
    <w:multiLevelType w:val="hybridMultilevel"/>
    <w:tmpl w:val="AECC4E52"/>
    <w:lvl w:ilvl="0" w:tplc="DD56B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F43E1"/>
    <w:multiLevelType w:val="hybridMultilevel"/>
    <w:tmpl w:val="7C74D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9693E"/>
    <w:multiLevelType w:val="hybridMultilevel"/>
    <w:tmpl w:val="CAF0ED70"/>
    <w:lvl w:ilvl="0" w:tplc="8FB8F0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25829"/>
    <w:multiLevelType w:val="hybridMultilevel"/>
    <w:tmpl w:val="7B0ACB5E"/>
    <w:lvl w:ilvl="0" w:tplc="D8BC5B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304E"/>
    <w:multiLevelType w:val="hybridMultilevel"/>
    <w:tmpl w:val="ACF853AA"/>
    <w:lvl w:ilvl="0" w:tplc="56DEFB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07458"/>
    <w:multiLevelType w:val="hybridMultilevel"/>
    <w:tmpl w:val="71E4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A7FBB"/>
    <w:multiLevelType w:val="hybridMultilevel"/>
    <w:tmpl w:val="AE0A2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EC7F21"/>
    <w:multiLevelType w:val="hybridMultilevel"/>
    <w:tmpl w:val="4352F4A0"/>
    <w:lvl w:ilvl="0" w:tplc="942A73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E76A9"/>
    <w:multiLevelType w:val="hybridMultilevel"/>
    <w:tmpl w:val="4A5409A6"/>
    <w:lvl w:ilvl="0" w:tplc="5DD29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632F4"/>
    <w:multiLevelType w:val="multilevel"/>
    <w:tmpl w:val="D3FC0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81131E"/>
    <w:multiLevelType w:val="hybridMultilevel"/>
    <w:tmpl w:val="D49AC230"/>
    <w:lvl w:ilvl="0" w:tplc="29B2F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5"/>
  </w:num>
  <w:num w:numId="4">
    <w:abstractNumId w:val="15"/>
  </w:num>
  <w:num w:numId="5">
    <w:abstractNumId w:val="11"/>
  </w:num>
  <w:num w:numId="6">
    <w:abstractNumId w:val="4"/>
  </w:num>
  <w:num w:numId="7">
    <w:abstractNumId w:val="17"/>
  </w:num>
  <w:num w:numId="8">
    <w:abstractNumId w:val="24"/>
  </w:num>
  <w:num w:numId="9">
    <w:abstractNumId w:val="20"/>
  </w:num>
  <w:num w:numId="10">
    <w:abstractNumId w:val="10"/>
  </w:num>
  <w:num w:numId="11">
    <w:abstractNumId w:val="14"/>
  </w:num>
  <w:num w:numId="12">
    <w:abstractNumId w:val="2"/>
  </w:num>
  <w:num w:numId="13">
    <w:abstractNumId w:val="12"/>
  </w:num>
  <w:num w:numId="14">
    <w:abstractNumId w:val="22"/>
  </w:num>
  <w:num w:numId="15">
    <w:abstractNumId w:val="5"/>
  </w:num>
  <w:num w:numId="16">
    <w:abstractNumId w:val="0"/>
  </w:num>
  <w:num w:numId="17">
    <w:abstractNumId w:val="1"/>
  </w:num>
  <w:num w:numId="18">
    <w:abstractNumId w:val="3"/>
  </w:num>
  <w:num w:numId="19">
    <w:abstractNumId w:val="27"/>
  </w:num>
  <w:num w:numId="20">
    <w:abstractNumId w:val="21"/>
  </w:num>
  <w:num w:numId="21">
    <w:abstractNumId w:val="6"/>
  </w:num>
  <w:num w:numId="22">
    <w:abstractNumId w:val="9"/>
  </w:num>
  <w:num w:numId="23">
    <w:abstractNumId w:val="26"/>
  </w:num>
  <w:num w:numId="24">
    <w:abstractNumId w:val="29"/>
  </w:num>
  <w:num w:numId="25">
    <w:abstractNumId w:val="13"/>
  </w:num>
  <w:num w:numId="26">
    <w:abstractNumId w:val="23"/>
  </w:num>
  <w:num w:numId="27">
    <w:abstractNumId w:val="19"/>
  </w:num>
  <w:num w:numId="28">
    <w:abstractNumId w:val="18"/>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E38DD"/>
    <w:rsid w:val="00015C94"/>
    <w:rsid w:val="0001624F"/>
    <w:rsid w:val="0002235A"/>
    <w:rsid w:val="00027FE5"/>
    <w:rsid w:val="000323EC"/>
    <w:rsid w:val="0003492B"/>
    <w:rsid w:val="0004702A"/>
    <w:rsid w:val="000506C3"/>
    <w:rsid w:val="00052E38"/>
    <w:rsid w:val="00053B9A"/>
    <w:rsid w:val="00056B04"/>
    <w:rsid w:val="00061643"/>
    <w:rsid w:val="000665F1"/>
    <w:rsid w:val="000708C4"/>
    <w:rsid w:val="00072BF0"/>
    <w:rsid w:val="00072FFD"/>
    <w:rsid w:val="0008096B"/>
    <w:rsid w:val="000813C6"/>
    <w:rsid w:val="00084CAB"/>
    <w:rsid w:val="000A2313"/>
    <w:rsid w:val="000A552A"/>
    <w:rsid w:val="000B0249"/>
    <w:rsid w:val="000B2757"/>
    <w:rsid w:val="000B5C28"/>
    <w:rsid w:val="000B61F8"/>
    <w:rsid w:val="000B6AFC"/>
    <w:rsid w:val="000D1B9B"/>
    <w:rsid w:val="000D7B7C"/>
    <w:rsid w:val="000E3FE5"/>
    <w:rsid w:val="000F1F34"/>
    <w:rsid w:val="000F52B5"/>
    <w:rsid w:val="00101136"/>
    <w:rsid w:val="0011027B"/>
    <w:rsid w:val="001128AC"/>
    <w:rsid w:val="0011474B"/>
    <w:rsid w:val="00116EEE"/>
    <w:rsid w:val="0012331F"/>
    <w:rsid w:val="00124D48"/>
    <w:rsid w:val="00130D7B"/>
    <w:rsid w:val="00133889"/>
    <w:rsid w:val="00137A8E"/>
    <w:rsid w:val="001514F8"/>
    <w:rsid w:val="0015646D"/>
    <w:rsid w:val="00165CB8"/>
    <w:rsid w:val="001704CC"/>
    <w:rsid w:val="00171B00"/>
    <w:rsid w:val="00176A54"/>
    <w:rsid w:val="001802CA"/>
    <w:rsid w:val="00180FDE"/>
    <w:rsid w:val="00185F10"/>
    <w:rsid w:val="001862DD"/>
    <w:rsid w:val="0018670A"/>
    <w:rsid w:val="00191264"/>
    <w:rsid w:val="00193E7E"/>
    <w:rsid w:val="001943F2"/>
    <w:rsid w:val="00194714"/>
    <w:rsid w:val="00197981"/>
    <w:rsid w:val="001A2214"/>
    <w:rsid w:val="001B038E"/>
    <w:rsid w:val="001B27C4"/>
    <w:rsid w:val="001C258A"/>
    <w:rsid w:val="001C4AA7"/>
    <w:rsid w:val="001C55FC"/>
    <w:rsid w:val="001C65B0"/>
    <w:rsid w:val="001D24C1"/>
    <w:rsid w:val="001E0348"/>
    <w:rsid w:val="001E1AD3"/>
    <w:rsid w:val="001E68D5"/>
    <w:rsid w:val="001F63FC"/>
    <w:rsid w:val="0020397E"/>
    <w:rsid w:val="002047D6"/>
    <w:rsid w:val="00204FB2"/>
    <w:rsid w:val="00205416"/>
    <w:rsid w:val="0021187D"/>
    <w:rsid w:val="00212BA7"/>
    <w:rsid w:val="00212C02"/>
    <w:rsid w:val="002131F3"/>
    <w:rsid w:val="00221C3F"/>
    <w:rsid w:val="002237D9"/>
    <w:rsid w:val="00225FFD"/>
    <w:rsid w:val="002278E6"/>
    <w:rsid w:val="00233923"/>
    <w:rsid w:val="00240AD0"/>
    <w:rsid w:val="00241747"/>
    <w:rsid w:val="00243194"/>
    <w:rsid w:val="00252C9C"/>
    <w:rsid w:val="00254C3E"/>
    <w:rsid w:val="0025531E"/>
    <w:rsid w:val="00257460"/>
    <w:rsid w:val="002667A8"/>
    <w:rsid w:val="00267B15"/>
    <w:rsid w:val="00267DDA"/>
    <w:rsid w:val="002724BE"/>
    <w:rsid w:val="002806AE"/>
    <w:rsid w:val="00281CEF"/>
    <w:rsid w:val="002825E0"/>
    <w:rsid w:val="00291A4D"/>
    <w:rsid w:val="00292DB6"/>
    <w:rsid w:val="002933E8"/>
    <w:rsid w:val="00293D10"/>
    <w:rsid w:val="00295D35"/>
    <w:rsid w:val="002A237E"/>
    <w:rsid w:val="002A7FA5"/>
    <w:rsid w:val="002C206E"/>
    <w:rsid w:val="002D2892"/>
    <w:rsid w:val="002E0D4F"/>
    <w:rsid w:val="002E2A51"/>
    <w:rsid w:val="002E57F3"/>
    <w:rsid w:val="0030635F"/>
    <w:rsid w:val="003079C6"/>
    <w:rsid w:val="00311870"/>
    <w:rsid w:val="00311C2C"/>
    <w:rsid w:val="00316EA9"/>
    <w:rsid w:val="003202AF"/>
    <w:rsid w:val="0033273F"/>
    <w:rsid w:val="00337990"/>
    <w:rsid w:val="00337B32"/>
    <w:rsid w:val="00337DB4"/>
    <w:rsid w:val="00343486"/>
    <w:rsid w:val="00343C29"/>
    <w:rsid w:val="00343CB3"/>
    <w:rsid w:val="00344B50"/>
    <w:rsid w:val="00345A50"/>
    <w:rsid w:val="003617B5"/>
    <w:rsid w:val="003619AF"/>
    <w:rsid w:val="003631E1"/>
    <w:rsid w:val="0036556E"/>
    <w:rsid w:val="003666A5"/>
    <w:rsid w:val="00381747"/>
    <w:rsid w:val="003B5864"/>
    <w:rsid w:val="003B5A9E"/>
    <w:rsid w:val="003B5C45"/>
    <w:rsid w:val="003B5C5D"/>
    <w:rsid w:val="003D2BC5"/>
    <w:rsid w:val="003D4FEA"/>
    <w:rsid w:val="003D6723"/>
    <w:rsid w:val="003E2C6F"/>
    <w:rsid w:val="003E5A5E"/>
    <w:rsid w:val="003F080A"/>
    <w:rsid w:val="003F0F44"/>
    <w:rsid w:val="003F1786"/>
    <w:rsid w:val="003F2363"/>
    <w:rsid w:val="003F6883"/>
    <w:rsid w:val="004100DF"/>
    <w:rsid w:val="00411A3D"/>
    <w:rsid w:val="00425E81"/>
    <w:rsid w:val="00427DCC"/>
    <w:rsid w:val="00430EAF"/>
    <w:rsid w:val="00437BB1"/>
    <w:rsid w:val="00442FAB"/>
    <w:rsid w:val="00455159"/>
    <w:rsid w:val="00457057"/>
    <w:rsid w:val="00457983"/>
    <w:rsid w:val="004621E0"/>
    <w:rsid w:val="004633B4"/>
    <w:rsid w:val="0047169D"/>
    <w:rsid w:val="004757F3"/>
    <w:rsid w:val="00482EE3"/>
    <w:rsid w:val="00495462"/>
    <w:rsid w:val="00497C81"/>
    <w:rsid w:val="004A16C0"/>
    <w:rsid w:val="004C167D"/>
    <w:rsid w:val="004C4265"/>
    <w:rsid w:val="004C5B63"/>
    <w:rsid w:val="004C63A4"/>
    <w:rsid w:val="004D0BEF"/>
    <w:rsid w:val="004D5ED8"/>
    <w:rsid w:val="004E03BF"/>
    <w:rsid w:val="00501863"/>
    <w:rsid w:val="00516081"/>
    <w:rsid w:val="00527195"/>
    <w:rsid w:val="0054275D"/>
    <w:rsid w:val="00546471"/>
    <w:rsid w:val="005529EC"/>
    <w:rsid w:val="00554A4C"/>
    <w:rsid w:val="005551BE"/>
    <w:rsid w:val="00556C7C"/>
    <w:rsid w:val="005577F6"/>
    <w:rsid w:val="00563373"/>
    <w:rsid w:val="00571CA6"/>
    <w:rsid w:val="00573794"/>
    <w:rsid w:val="0057688B"/>
    <w:rsid w:val="005807D9"/>
    <w:rsid w:val="00581164"/>
    <w:rsid w:val="005878D4"/>
    <w:rsid w:val="00587AAD"/>
    <w:rsid w:val="005A2B9E"/>
    <w:rsid w:val="005A7360"/>
    <w:rsid w:val="005B1172"/>
    <w:rsid w:val="005B15C9"/>
    <w:rsid w:val="005B2E4F"/>
    <w:rsid w:val="005E6687"/>
    <w:rsid w:val="005F22F1"/>
    <w:rsid w:val="005F71F1"/>
    <w:rsid w:val="00617F9B"/>
    <w:rsid w:val="0062745A"/>
    <w:rsid w:val="00630B0B"/>
    <w:rsid w:val="00642C21"/>
    <w:rsid w:val="00643AF0"/>
    <w:rsid w:val="0064581D"/>
    <w:rsid w:val="006461C3"/>
    <w:rsid w:val="006526F1"/>
    <w:rsid w:val="00653E53"/>
    <w:rsid w:val="00654A00"/>
    <w:rsid w:val="00656441"/>
    <w:rsid w:val="00656BF0"/>
    <w:rsid w:val="006602F6"/>
    <w:rsid w:val="00663D00"/>
    <w:rsid w:val="00665B06"/>
    <w:rsid w:val="00682AA6"/>
    <w:rsid w:val="00683EB7"/>
    <w:rsid w:val="00686514"/>
    <w:rsid w:val="006959D0"/>
    <w:rsid w:val="0069647C"/>
    <w:rsid w:val="006A2602"/>
    <w:rsid w:val="006B1827"/>
    <w:rsid w:val="006B485A"/>
    <w:rsid w:val="006C07F7"/>
    <w:rsid w:val="006C6349"/>
    <w:rsid w:val="006D3954"/>
    <w:rsid w:val="006D4D7C"/>
    <w:rsid w:val="006E0965"/>
    <w:rsid w:val="006E7923"/>
    <w:rsid w:val="006F1E44"/>
    <w:rsid w:val="0070068E"/>
    <w:rsid w:val="007106AB"/>
    <w:rsid w:val="0071239C"/>
    <w:rsid w:val="0072172E"/>
    <w:rsid w:val="00726DEA"/>
    <w:rsid w:val="00732B85"/>
    <w:rsid w:val="007334EE"/>
    <w:rsid w:val="00735255"/>
    <w:rsid w:val="00735CBF"/>
    <w:rsid w:val="00737B42"/>
    <w:rsid w:val="00751CD5"/>
    <w:rsid w:val="00752265"/>
    <w:rsid w:val="00761812"/>
    <w:rsid w:val="00763E4B"/>
    <w:rsid w:val="00765CAA"/>
    <w:rsid w:val="0077298B"/>
    <w:rsid w:val="007751CB"/>
    <w:rsid w:val="0077748E"/>
    <w:rsid w:val="007828B0"/>
    <w:rsid w:val="00787452"/>
    <w:rsid w:val="007A011A"/>
    <w:rsid w:val="007A2282"/>
    <w:rsid w:val="007A3525"/>
    <w:rsid w:val="007A67A7"/>
    <w:rsid w:val="007A7B3E"/>
    <w:rsid w:val="007B300D"/>
    <w:rsid w:val="007B37CE"/>
    <w:rsid w:val="007B7083"/>
    <w:rsid w:val="007C06AC"/>
    <w:rsid w:val="007C6258"/>
    <w:rsid w:val="007C7866"/>
    <w:rsid w:val="007D19F2"/>
    <w:rsid w:val="007D61BD"/>
    <w:rsid w:val="007E1C79"/>
    <w:rsid w:val="007E5726"/>
    <w:rsid w:val="007E5F0A"/>
    <w:rsid w:val="007F50B4"/>
    <w:rsid w:val="007F66E0"/>
    <w:rsid w:val="00807A88"/>
    <w:rsid w:val="00812F5E"/>
    <w:rsid w:val="00815880"/>
    <w:rsid w:val="0082078E"/>
    <w:rsid w:val="00825D79"/>
    <w:rsid w:val="008365C2"/>
    <w:rsid w:val="00836F91"/>
    <w:rsid w:val="00856CF7"/>
    <w:rsid w:val="00857B7F"/>
    <w:rsid w:val="00876FBC"/>
    <w:rsid w:val="008804C0"/>
    <w:rsid w:val="00884D31"/>
    <w:rsid w:val="0089610E"/>
    <w:rsid w:val="008971F0"/>
    <w:rsid w:val="00897445"/>
    <w:rsid w:val="008A5599"/>
    <w:rsid w:val="008A5BAE"/>
    <w:rsid w:val="008B1668"/>
    <w:rsid w:val="008B1C33"/>
    <w:rsid w:val="008B3D11"/>
    <w:rsid w:val="008C044D"/>
    <w:rsid w:val="008C2D02"/>
    <w:rsid w:val="008C30A2"/>
    <w:rsid w:val="008E50A6"/>
    <w:rsid w:val="008E56E0"/>
    <w:rsid w:val="008E6A1E"/>
    <w:rsid w:val="008F0A12"/>
    <w:rsid w:val="008F4AD0"/>
    <w:rsid w:val="008F50D1"/>
    <w:rsid w:val="00901565"/>
    <w:rsid w:val="00913B93"/>
    <w:rsid w:val="009170CA"/>
    <w:rsid w:val="009364D4"/>
    <w:rsid w:val="0094246D"/>
    <w:rsid w:val="00954562"/>
    <w:rsid w:val="00957173"/>
    <w:rsid w:val="00957F19"/>
    <w:rsid w:val="00964470"/>
    <w:rsid w:val="009676AA"/>
    <w:rsid w:val="0097343A"/>
    <w:rsid w:val="0097480B"/>
    <w:rsid w:val="00975A34"/>
    <w:rsid w:val="009773A7"/>
    <w:rsid w:val="00977D07"/>
    <w:rsid w:val="00980B5D"/>
    <w:rsid w:val="009818BC"/>
    <w:rsid w:val="00986763"/>
    <w:rsid w:val="00987F18"/>
    <w:rsid w:val="009A05EB"/>
    <w:rsid w:val="009B72F7"/>
    <w:rsid w:val="009C686E"/>
    <w:rsid w:val="009D0FCA"/>
    <w:rsid w:val="009D54B6"/>
    <w:rsid w:val="009D641B"/>
    <w:rsid w:val="009E10A2"/>
    <w:rsid w:val="009E2019"/>
    <w:rsid w:val="009F434D"/>
    <w:rsid w:val="009F5A28"/>
    <w:rsid w:val="00A00754"/>
    <w:rsid w:val="00A01AC6"/>
    <w:rsid w:val="00A02178"/>
    <w:rsid w:val="00A05B24"/>
    <w:rsid w:val="00A06729"/>
    <w:rsid w:val="00A173BD"/>
    <w:rsid w:val="00A1772E"/>
    <w:rsid w:val="00A2020F"/>
    <w:rsid w:val="00A2096E"/>
    <w:rsid w:val="00A328C0"/>
    <w:rsid w:val="00A32CFC"/>
    <w:rsid w:val="00A36988"/>
    <w:rsid w:val="00A3723D"/>
    <w:rsid w:val="00A408AB"/>
    <w:rsid w:val="00A519DE"/>
    <w:rsid w:val="00A535CF"/>
    <w:rsid w:val="00A54BA2"/>
    <w:rsid w:val="00A569F7"/>
    <w:rsid w:val="00A659E1"/>
    <w:rsid w:val="00A65EFD"/>
    <w:rsid w:val="00A74952"/>
    <w:rsid w:val="00A75FFA"/>
    <w:rsid w:val="00A84531"/>
    <w:rsid w:val="00A860B1"/>
    <w:rsid w:val="00A86C43"/>
    <w:rsid w:val="00A967DD"/>
    <w:rsid w:val="00A97D3D"/>
    <w:rsid w:val="00AA2B8A"/>
    <w:rsid w:val="00AA313D"/>
    <w:rsid w:val="00AB15BE"/>
    <w:rsid w:val="00AC4DEA"/>
    <w:rsid w:val="00AC58A9"/>
    <w:rsid w:val="00AD076E"/>
    <w:rsid w:val="00AD3B2F"/>
    <w:rsid w:val="00AD64EC"/>
    <w:rsid w:val="00AE1782"/>
    <w:rsid w:val="00AE7D0C"/>
    <w:rsid w:val="00AF113A"/>
    <w:rsid w:val="00AF12D9"/>
    <w:rsid w:val="00AF130E"/>
    <w:rsid w:val="00AF1D20"/>
    <w:rsid w:val="00AF279B"/>
    <w:rsid w:val="00AF55FA"/>
    <w:rsid w:val="00B00279"/>
    <w:rsid w:val="00B0162A"/>
    <w:rsid w:val="00B05F4E"/>
    <w:rsid w:val="00B12D2B"/>
    <w:rsid w:val="00B133D6"/>
    <w:rsid w:val="00B21A8B"/>
    <w:rsid w:val="00B33CC8"/>
    <w:rsid w:val="00B41040"/>
    <w:rsid w:val="00B4249F"/>
    <w:rsid w:val="00B43DF5"/>
    <w:rsid w:val="00B450A3"/>
    <w:rsid w:val="00B47D76"/>
    <w:rsid w:val="00B524E3"/>
    <w:rsid w:val="00B55ACD"/>
    <w:rsid w:val="00B60BB3"/>
    <w:rsid w:val="00B77CA1"/>
    <w:rsid w:val="00B8129F"/>
    <w:rsid w:val="00B8304A"/>
    <w:rsid w:val="00B937F5"/>
    <w:rsid w:val="00B9441B"/>
    <w:rsid w:val="00B94AC5"/>
    <w:rsid w:val="00BA0D0A"/>
    <w:rsid w:val="00BB16E2"/>
    <w:rsid w:val="00BB7636"/>
    <w:rsid w:val="00BC0778"/>
    <w:rsid w:val="00BC24E6"/>
    <w:rsid w:val="00BF51B3"/>
    <w:rsid w:val="00C05D60"/>
    <w:rsid w:val="00C121D0"/>
    <w:rsid w:val="00C1727E"/>
    <w:rsid w:val="00C25F1E"/>
    <w:rsid w:val="00C3600B"/>
    <w:rsid w:val="00C40311"/>
    <w:rsid w:val="00C42DCA"/>
    <w:rsid w:val="00C4381C"/>
    <w:rsid w:val="00C44866"/>
    <w:rsid w:val="00C5081D"/>
    <w:rsid w:val="00C51511"/>
    <w:rsid w:val="00C55934"/>
    <w:rsid w:val="00C60C15"/>
    <w:rsid w:val="00C666E8"/>
    <w:rsid w:val="00C6679D"/>
    <w:rsid w:val="00C73E27"/>
    <w:rsid w:val="00C7421E"/>
    <w:rsid w:val="00C802A5"/>
    <w:rsid w:val="00C81117"/>
    <w:rsid w:val="00C85ACD"/>
    <w:rsid w:val="00C930F9"/>
    <w:rsid w:val="00CA1682"/>
    <w:rsid w:val="00CA2308"/>
    <w:rsid w:val="00CA4AD4"/>
    <w:rsid w:val="00CB0AC8"/>
    <w:rsid w:val="00CB7665"/>
    <w:rsid w:val="00CC1A2D"/>
    <w:rsid w:val="00CC4513"/>
    <w:rsid w:val="00CC56E2"/>
    <w:rsid w:val="00CD3A08"/>
    <w:rsid w:val="00CE1A4C"/>
    <w:rsid w:val="00CF3457"/>
    <w:rsid w:val="00D036FA"/>
    <w:rsid w:val="00D051C5"/>
    <w:rsid w:val="00D263C2"/>
    <w:rsid w:val="00D30899"/>
    <w:rsid w:val="00D31C8C"/>
    <w:rsid w:val="00D35271"/>
    <w:rsid w:val="00D4013B"/>
    <w:rsid w:val="00D40F42"/>
    <w:rsid w:val="00D576C7"/>
    <w:rsid w:val="00D60DCA"/>
    <w:rsid w:val="00D70F40"/>
    <w:rsid w:val="00D7146F"/>
    <w:rsid w:val="00D727A5"/>
    <w:rsid w:val="00D86436"/>
    <w:rsid w:val="00D90806"/>
    <w:rsid w:val="00D9275C"/>
    <w:rsid w:val="00D92A9B"/>
    <w:rsid w:val="00DC17FD"/>
    <w:rsid w:val="00DC513F"/>
    <w:rsid w:val="00DC6C38"/>
    <w:rsid w:val="00DE100C"/>
    <w:rsid w:val="00DE16F2"/>
    <w:rsid w:val="00DE46DF"/>
    <w:rsid w:val="00DE49FA"/>
    <w:rsid w:val="00DE53C2"/>
    <w:rsid w:val="00DF10FB"/>
    <w:rsid w:val="00DF1F52"/>
    <w:rsid w:val="00DF5840"/>
    <w:rsid w:val="00DF6F6E"/>
    <w:rsid w:val="00E030C8"/>
    <w:rsid w:val="00E21D4D"/>
    <w:rsid w:val="00E26CBB"/>
    <w:rsid w:val="00E366C2"/>
    <w:rsid w:val="00E3786D"/>
    <w:rsid w:val="00E442F9"/>
    <w:rsid w:val="00E52504"/>
    <w:rsid w:val="00E54441"/>
    <w:rsid w:val="00E63C9C"/>
    <w:rsid w:val="00E65040"/>
    <w:rsid w:val="00E85B5A"/>
    <w:rsid w:val="00E90631"/>
    <w:rsid w:val="00E92A2B"/>
    <w:rsid w:val="00EC2461"/>
    <w:rsid w:val="00EC6463"/>
    <w:rsid w:val="00EC6CC1"/>
    <w:rsid w:val="00ED0158"/>
    <w:rsid w:val="00ED071C"/>
    <w:rsid w:val="00ED177C"/>
    <w:rsid w:val="00EF0547"/>
    <w:rsid w:val="00EF7154"/>
    <w:rsid w:val="00F07380"/>
    <w:rsid w:val="00F11D68"/>
    <w:rsid w:val="00F12F3C"/>
    <w:rsid w:val="00F1461F"/>
    <w:rsid w:val="00F24288"/>
    <w:rsid w:val="00F253E2"/>
    <w:rsid w:val="00F27BCF"/>
    <w:rsid w:val="00F31907"/>
    <w:rsid w:val="00F343B8"/>
    <w:rsid w:val="00F35CEC"/>
    <w:rsid w:val="00F37400"/>
    <w:rsid w:val="00F467D9"/>
    <w:rsid w:val="00F531E5"/>
    <w:rsid w:val="00F56C66"/>
    <w:rsid w:val="00F63455"/>
    <w:rsid w:val="00F66C69"/>
    <w:rsid w:val="00F70667"/>
    <w:rsid w:val="00F815C8"/>
    <w:rsid w:val="00F81D70"/>
    <w:rsid w:val="00F8237F"/>
    <w:rsid w:val="00F871A8"/>
    <w:rsid w:val="00FA40E6"/>
    <w:rsid w:val="00FB6265"/>
    <w:rsid w:val="00FC108A"/>
    <w:rsid w:val="00FC1D64"/>
    <w:rsid w:val="00FC41EA"/>
    <w:rsid w:val="00FC6588"/>
    <w:rsid w:val="00FD16B5"/>
    <w:rsid w:val="00FD2C49"/>
    <w:rsid w:val="00FD3F61"/>
    <w:rsid w:val="00FD7678"/>
    <w:rsid w:val="00FE38DD"/>
    <w:rsid w:val="00FF13B2"/>
    <w:rsid w:val="00FF2FD6"/>
    <w:rsid w:val="00FF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4962"/>
  <w15:docId w15:val="{08AAA9C3-12E8-4E7D-8182-0AA03E12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8DD"/>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FE38DD"/>
    <w:rPr>
      <w:b/>
      <w:bCs/>
    </w:rPr>
  </w:style>
  <w:style w:type="character" w:styleId="Hyperlink">
    <w:name w:val="Hyperlink"/>
    <w:basedOn w:val="DefaultParagraphFont"/>
    <w:uiPriority w:val="99"/>
    <w:unhideWhenUsed/>
    <w:rsid w:val="00FE38DD"/>
    <w:rPr>
      <w:color w:val="0563C1" w:themeColor="hyperlink"/>
      <w:u w:val="single"/>
    </w:rPr>
  </w:style>
  <w:style w:type="character" w:styleId="UnresolvedMention">
    <w:name w:val="Unresolved Mention"/>
    <w:basedOn w:val="DefaultParagraphFont"/>
    <w:uiPriority w:val="99"/>
    <w:semiHidden/>
    <w:unhideWhenUsed/>
    <w:rsid w:val="00FE38DD"/>
    <w:rPr>
      <w:color w:val="605E5C"/>
      <w:shd w:val="clear" w:color="auto" w:fill="E1DFDD"/>
    </w:rPr>
  </w:style>
  <w:style w:type="character" w:styleId="FollowedHyperlink">
    <w:name w:val="FollowedHyperlink"/>
    <w:basedOn w:val="DefaultParagraphFont"/>
    <w:uiPriority w:val="99"/>
    <w:semiHidden/>
    <w:unhideWhenUsed/>
    <w:rsid w:val="00FE38DD"/>
    <w:rPr>
      <w:color w:val="954F72" w:themeColor="followedHyperlink"/>
      <w:u w:val="single"/>
    </w:rPr>
  </w:style>
  <w:style w:type="character" w:customStyle="1" w:styleId="markedcontent">
    <w:name w:val="markedcontent"/>
    <w:basedOn w:val="DefaultParagraphFont"/>
    <w:rsid w:val="00FE38DD"/>
  </w:style>
  <w:style w:type="paragraph" w:customStyle="1" w:styleId="EndNoteBibliographyTitle">
    <w:name w:val="EndNote Bibliography Title"/>
    <w:basedOn w:val="Normal"/>
    <w:link w:val="EndNoteBibliographyTitleChar"/>
    <w:rsid w:val="00FE38DD"/>
    <w:pPr>
      <w:jc w:val="center"/>
    </w:pPr>
  </w:style>
  <w:style w:type="character" w:customStyle="1" w:styleId="EndNoteBibliographyTitleChar">
    <w:name w:val="EndNote Bibliography Title Char"/>
    <w:basedOn w:val="DefaultParagraphFont"/>
    <w:link w:val="EndNoteBibliographyTitle"/>
    <w:rsid w:val="00FE38DD"/>
    <w:rPr>
      <w:rFonts w:ascii="Times New Roman" w:eastAsia="Times New Roman" w:hAnsi="Times New Roman" w:cs="Times New Roman"/>
    </w:rPr>
  </w:style>
  <w:style w:type="paragraph" w:customStyle="1" w:styleId="EndNoteBibliography">
    <w:name w:val="EndNote Bibliography"/>
    <w:basedOn w:val="Normal"/>
    <w:link w:val="EndNoteBibliographyChar"/>
    <w:rsid w:val="00FE38DD"/>
  </w:style>
  <w:style w:type="character" w:customStyle="1" w:styleId="EndNoteBibliographyChar">
    <w:name w:val="EndNote Bibliography Char"/>
    <w:basedOn w:val="DefaultParagraphFont"/>
    <w:link w:val="EndNoteBibliography"/>
    <w:rsid w:val="00FE38DD"/>
    <w:rPr>
      <w:rFonts w:ascii="Times New Roman" w:eastAsia="Times New Roman" w:hAnsi="Times New Roman" w:cs="Times New Roman"/>
    </w:rPr>
  </w:style>
  <w:style w:type="character" w:customStyle="1" w:styleId="italicized-text">
    <w:name w:val="italicized-text"/>
    <w:basedOn w:val="DefaultParagraphFont"/>
    <w:rsid w:val="00C5081D"/>
  </w:style>
  <w:style w:type="character" w:customStyle="1" w:styleId="authors">
    <w:name w:val="authors"/>
    <w:basedOn w:val="DefaultParagraphFont"/>
    <w:rsid w:val="00857B7F"/>
  </w:style>
  <w:style w:type="character" w:customStyle="1" w:styleId="dop">
    <w:name w:val="dop"/>
    <w:basedOn w:val="DefaultParagraphFont"/>
    <w:rsid w:val="00857B7F"/>
  </w:style>
  <w:style w:type="character" w:customStyle="1" w:styleId="item-title">
    <w:name w:val="item-title"/>
    <w:basedOn w:val="DefaultParagraphFont"/>
    <w:rsid w:val="00857B7F"/>
  </w:style>
  <w:style w:type="character" w:customStyle="1" w:styleId="volissue">
    <w:name w:val="volissue"/>
    <w:basedOn w:val="DefaultParagraphFont"/>
    <w:rsid w:val="00857B7F"/>
  </w:style>
  <w:style w:type="character" w:customStyle="1" w:styleId="doi">
    <w:name w:val="doi"/>
    <w:basedOn w:val="DefaultParagraphFont"/>
    <w:rsid w:val="00857B7F"/>
  </w:style>
  <w:style w:type="paragraph" w:customStyle="1" w:styleId="muitypography-root">
    <w:name w:val="muitypography-root"/>
    <w:basedOn w:val="Normal"/>
    <w:rsid w:val="00AB15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643">
      <w:bodyDiv w:val="1"/>
      <w:marLeft w:val="0"/>
      <w:marRight w:val="0"/>
      <w:marTop w:val="0"/>
      <w:marBottom w:val="0"/>
      <w:divBdr>
        <w:top w:val="none" w:sz="0" w:space="0" w:color="auto"/>
        <w:left w:val="none" w:sz="0" w:space="0" w:color="auto"/>
        <w:bottom w:val="none" w:sz="0" w:space="0" w:color="auto"/>
        <w:right w:val="none" w:sz="0" w:space="0" w:color="auto"/>
      </w:divBdr>
      <w:divsChild>
        <w:div w:id="1868130950">
          <w:marLeft w:val="0"/>
          <w:marRight w:val="0"/>
          <w:marTop w:val="0"/>
          <w:marBottom w:val="0"/>
          <w:divBdr>
            <w:top w:val="none" w:sz="0" w:space="0" w:color="auto"/>
            <w:left w:val="none" w:sz="0" w:space="0" w:color="auto"/>
            <w:bottom w:val="none" w:sz="0" w:space="0" w:color="auto"/>
            <w:right w:val="none" w:sz="0" w:space="0" w:color="auto"/>
          </w:divBdr>
          <w:divsChild>
            <w:div w:id="1755737105">
              <w:marLeft w:val="0"/>
              <w:marRight w:val="0"/>
              <w:marTop w:val="360"/>
              <w:marBottom w:val="0"/>
              <w:divBdr>
                <w:top w:val="none" w:sz="0" w:space="0" w:color="auto"/>
                <w:left w:val="none" w:sz="0" w:space="0" w:color="auto"/>
                <w:bottom w:val="none" w:sz="0" w:space="0" w:color="auto"/>
                <w:right w:val="none" w:sz="0" w:space="0" w:color="auto"/>
              </w:divBdr>
              <w:divsChild>
                <w:div w:id="1723409867">
                  <w:marLeft w:val="0"/>
                  <w:marRight w:val="0"/>
                  <w:marTop w:val="0"/>
                  <w:marBottom w:val="0"/>
                  <w:divBdr>
                    <w:top w:val="single" w:sz="6" w:space="0" w:color="A0A4AE"/>
                    <w:left w:val="single" w:sz="6" w:space="0" w:color="A0A4AE"/>
                    <w:bottom w:val="single" w:sz="6" w:space="0" w:color="A0A4AE"/>
                    <w:right w:val="single" w:sz="6" w:space="0" w:color="A0A4AE"/>
                  </w:divBdr>
                  <w:divsChild>
                    <w:div w:id="2735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7359">
          <w:marLeft w:val="0"/>
          <w:marRight w:val="0"/>
          <w:marTop w:val="240"/>
          <w:marBottom w:val="240"/>
          <w:divBdr>
            <w:top w:val="none" w:sz="0" w:space="0" w:color="auto"/>
            <w:left w:val="none" w:sz="0" w:space="0" w:color="auto"/>
            <w:bottom w:val="none" w:sz="0" w:space="0" w:color="auto"/>
            <w:right w:val="none" w:sz="0" w:space="0" w:color="auto"/>
          </w:divBdr>
          <w:divsChild>
            <w:div w:id="996107401">
              <w:marLeft w:val="0"/>
              <w:marRight w:val="0"/>
              <w:marTop w:val="0"/>
              <w:marBottom w:val="0"/>
              <w:divBdr>
                <w:top w:val="none" w:sz="0" w:space="0" w:color="auto"/>
                <w:left w:val="none" w:sz="0" w:space="0" w:color="auto"/>
                <w:bottom w:val="none" w:sz="0" w:space="0" w:color="auto"/>
                <w:right w:val="none" w:sz="0" w:space="0" w:color="auto"/>
              </w:divBdr>
              <w:divsChild>
                <w:div w:id="772238942">
                  <w:marLeft w:val="0"/>
                  <w:marRight w:val="0"/>
                  <w:marTop w:val="0"/>
                  <w:marBottom w:val="0"/>
                  <w:divBdr>
                    <w:top w:val="none" w:sz="0" w:space="0" w:color="auto"/>
                    <w:left w:val="none" w:sz="0" w:space="0" w:color="auto"/>
                    <w:bottom w:val="none" w:sz="0" w:space="0" w:color="auto"/>
                    <w:right w:val="none" w:sz="0" w:space="0" w:color="auto"/>
                  </w:divBdr>
                  <w:divsChild>
                    <w:div w:id="205683328">
                      <w:marLeft w:val="0"/>
                      <w:marRight w:val="0"/>
                      <w:marTop w:val="0"/>
                      <w:marBottom w:val="0"/>
                      <w:divBdr>
                        <w:top w:val="none" w:sz="0" w:space="0" w:color="auto"/>
                        <w:left w:val="none" w:sz="0" w:space="0" w:color="auto"/>
                        <w:bottom w:val="none" w:sz="0" w:space="0" w:color="auto"/>
                        <w:right w:val="none" w:sz="0" w:space="0" w:color="auto"/>
                      </w:divBdr>
                      <w:divsChild>
                        <w:div w:id="43600765">
                          <w:marLeft w:val="0"/>
                          <w:marRight w:val="0"/>
                          <w:marTop w:val="0"/>
                          <w:marBottom w:val="0"/>
                          <w:divBdr>
                            <w:top w:val="single" w:sz="2" w:space="0" w:color="2739B1"/>
                            <w:left w:val="single" w:sz="48" w:space="0" w:color="2739B1"/>
                            <w:bottom w:val="single" w:sz="2" w:space="0" w:color="2739B1"/>
                            <w:right w:val="single" w:sz="2" w:space="0" w:color="2739B1"/>
                          </w:divBdr>
                          <w:divsChild>
                            <w:div w:id="2076316833">
                              <w:marLeft w:val="0"/>
                              <w:marRight w:val="0"/>
                              <w:marTop w:val="0"/>
                              <w:marBottom w:val="0"/>
                              <w:divBdr>
                                <w:top w:val="none" w:sz="0" w:space="0" w:color="auto"/>
                                <w:left w:val="none" w:sz="0" w:space="0" w:color="auto"/>
                                <w:bottom w:val="none" w:sz="0" w:space="0" w:color="auto"/>
                                <w:right w:val="none" w:sz="0" w:space="0" w:color="auto"/>
                              </w:divBdr>
                              <w:divsChild>
                                <w:div w:id="258375485">
                                  <w:marLeft w:val="0"/>
                                  <w:marRight w:val="0"/>
                                  <w:marTop w:val="0"/>
                                  <w:marBottom w:val="0"/>
                                  <w:divBdr>
                                    <w:top w:val="none" w:sz="0" w:space="0" w:color="auto"/>
                                    <w:left w:val="none" w:sz="0" w:space="0" w:color="auto"/>
                                    <w:bottom w:val="none" w:sz="0" w:space="0" w:color="auto"/>
                                    <w:right w:val="none" w:sz="0" w:space="0" w:color="auto"/>
                                  </w:divBdr>
                                  <w:divsChild>
                                    <w:div w:id="8397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20794">
          <w:marLeft w:val="0"/>
          <w:marRight w:val="0"/>
          <w:marTop w:val="240"/>
          <w:marBottom w:val="0"/>
          <w:divBdr>
            <w:top w:val="none" w:sz="0" w:space="0" w:color="auto"/>
            <w:left w:val="none" w:sz="0" w:space="0" w:color="auto"/>
            <w:bottom w:val="none" w:sz="0" w:space="0" w:color="auto"/>
            <w:right w:val="none" w:sz="0" w:space="0" w:color="auto"/>
          </w:divBdr>
        </w:div>
      </w:divsChild>
    </w:div>
    <w:div w:id="78230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DCC.0000000000000489" TargetMode="External"/><Relationship Id="rId13" Type="http://schemas.openxmlformats.org/officeDocument/2006/relationships/hyperlink" Target="https://doi.org/10.1186/s12913-019-4859-6"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doi.org/10.1097/NNR.0000000000000329"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doi.org/10.1097/ACM.0000000000004077"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doi.org/10.1093/infdis/jiz214"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https://doi.org/10.1080/01612840.2018.1499157" TargetMode="External"/><Relationship Id="rId15" Type="http://schemas.openxmlformats.org/officeDocument/2006/relationships/hyperlink" Target="https://doi.org/10.1186/s12909-020-02296-x" TargetMode="External"/><Relationship Id="rId23" Type="http://schemas.openxmlformats.org/officeDocument/2006/relationships/theme" Target="theme/theme1.xml"/><Relationship Id="rId10" Type="http://schemas.openxmlformats.org/officeDocument/2006/relationships/hyperlink" Target="https://doi.org/10.15766/mep_2374-8265.10467" TargetMode="External"/><Relationship Id="rId19" Type="http://schemas.openxmlformats.org/officeDocument/2006/relationships/hyperlink" Target="https://doi.org/10.3928/01484834-20200323-04"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6124</Words>
  <Characters>34910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Wittenberg, Elaine M</dc:creator>
  <cp:keywords/>
  <dc:description/>
  <cp:lastModifiedBy>McElroy, Amy</cp:lastModifiedBy>
  <cp:revision>3</cp:revision>
  <dcterms:created xsi:type="dcterms:W3CDTF">2022-02-17T13:53:00Z</dcterms:created>
  <dcterms:modified xsi:type="dcterms:W3CDTF">2022-02-17T13:53:00Z</dcterms:modified>
</cp:coreProperties>
</file>